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3984964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/>
        <w:jc w:val="center"/>
        <w:textAlignment w:val="auto"/>
        <w:rPr>
          <w:rFonts w:hint="default" w:ascii="Times New Roman" w:hAnsi="Times New Roman" w:eastAsia="方正小标宋_GBK" w:cs="Times New Roman"/>
          <w:b w:val="0"/>
          <w:bCs w:val="0"/>
          <w:color w:val="auto"/>
          <w:sz w:val="44"/>
          <w:szCs w:val="44"/>
          <w:highlight w:val="none"/>
        </w:rPr>
      </w:pPr>
      <w:r>
        <w:rPr>
          <w:rFonts w:hint="default" w:ascii="Times New Roman" w:hAnsi="Times New Roman" w:eastAsia="方正小标宋_GBK" w:cs="Times New Roman"/>
          <w:b w:val="0"/>
          <w:bCs w:val="0"/>
          <w:color w:val="auto"/>
          <w:kern w:val="0"/>
          <w:sz w:val="44"/>
          <w:szCs w:val="44"/>
          <w:highlight w:val="none"/>
          <w:lang w:val="en-US" w:eastAsia="zh-CN" w:bidi="ar"/>
        </w:rPr>
        <w:t>周口市医疗保障局</w:t>
      </w:r>
    </w:p>
    <w:p w14:paraId="3448573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/>
        <w:jc w:val="center"/>
        <w:textAlignment w:val="auto"/>
        <w:rPr>
          <w:rFonts w:hint="default" w:ascii="Times New Roman" w:hAnsi="Times New Roman" w:eastAsia="方正小标宋_GBK" w:cs="Times New Roman"/>
          <w:b w:val="0"/>
          <w:bCs w:val="0"/>
          <w:color w:val="auto"/>
          <w:kern w:val="0"/>
          <w:sz w:val="44"/>
          <w:szCs w:val="44"/>
          <w:highlight w:val="none"/>
          <w:lang w:val="en-US" w:eastAsia="zh-CN" w:bidi="ar"/>
        </w:rPr>
      </w:pPr>
      <w:r>
        <w:rPr>
          <w:rFonts w:hint="default" w:ascii="Times New Roman" w:hAnsi="Times New Roman" w:eastAsia="方正小标宋_GBK" w:cs="Times New Roman"/>
          <w:b w:val="0"/>
          <w:bCs w:val="0"/>
          <w:color w:val="auto"/>
          <w:kern w:val="0"/>
          <w:sz w:val="44"/>
          <w:szCs w:val="44"/>
          <w:highlight w:val="none"/>
          <w:lang w:val="en-US" w:eastAsia="zh-CN" w:bidi="ar"/>
        </w:rPr>
        <w:t>关于《周口</w:t>
      </w:r>
      <w:r>
        <w:rPr>
          <w:rFonts w:hint="default" w:ascii="Times New Roman" w:hAnsi="Times New Roman" w:eastAsia="方正小标宋_GBK" w:cs="Times New Roman"/>
          <w:b w:val="0"/>
          <w:bCs w:val="0"/>
          <w:i w:val="0"/>
          <w:iCs w:val="0"/>
          <w:caps w:val="0"/>
          <w:color w:val="auto"/>
          <w:spacing w:val="0"/>
          <w:sz w:val="44"/>
          <w:szCs w:val="44"/>
          <w:highlight w:val="none"/>
          <w:u w:val="none"/>
          <w:shd w:val="clear" w:fill="FFFFFF"/>
          <w:vertAlign w:val="baseline"/>
          <w:lang w:val="en-US" w:eastAsia="zh-CN"/>
        </w:rPr>
        <w:t>市长期护理保险实施</w:t>
      </w:r>
      <w:r>
        <w:rPr>
          <w:rFonts w:hint="eastAsia" w:ascii="Times New Roman" w:hAnsi="Times New Roman" w:eastAsia="方正小标宋_GBK" w:cs="Times New Roman"/>
          <w:b w:val="0"/>
          <w:bCs w:val="0"/>
          <w:i w:val="0"/>
          <w:iCs w:val="0"/>
          <w:caps w:val="0"/>
          <w:color w:val="auto"/>
          <w:spacing w:val="0"/>
          <w:sz w:val="44"/>
          <w:szCs w:val="44"/>
          <w:highlight w:val="none"/>
          <w:u w:val="none"/>
          <w:shd w:val="clear" w:fill="FFFFFF"/>
          <w:vertAlign w:val="baseline"/>
          <w:lang w:val="en-US" w:eastAsia="zh-CN"/>
        </w:rPr>
        <w:t>办法（试行）（征求意见稿）</w:t>
      </w:r>
      <w:r>
        <w:rPr>
          <w:rFonts w:hint="default" w:ascii="Times New Roman" w:hAnsi="Times New Roman" w:eastAsia="方正小标宋_GBK" w:cs="Times New Roman"/>
          <w:b w:val="0"/>
          <w:bCs w:val="0"/>
          <w:color w:val="auto"/>
          <w:kern w:val="0"/>
          <w:sz w:val="44"/>
          <w:szCs w:val="44"/>
          <w:highlight w:val="none"/>
          <w:lang w:val="en-US" w:eastAsia="zh-CN" w:bidi="ar"/>
        </w:rPr>
        <w:t>》</w:t>
      </w:r>
      <w:r>
        <w:rPr>
          <w:rFonts w:hint="eastAsia" w:ascii="Times New Roman" w:hAnsi="Times New Roman" w:eastAsia="方正小标宋_GBK" w:cs="Times New Roman"/>
          <w:b w:val="0"/>
          <w:bCs w:val="0"/>
          <w:color w:val="auto"/>
          <w:kern w:val="0"/>
          <w:sz w:val="44"/>
          <w:szCs w:val="44"/>
          <w:highlight w:val="none"/>
          <w:lang w:val="en-US" w:eastAsia="zh-CN" w:bidi="ar"/>
        </w:rPr>
        <w:t>的</w:t>
      </w:r>
      <w:r>
        <w:rPr>
          <w:rFonts w:hint="default" w:ascii="Times New Roman" w:hAnsi="Times New Roman" w:eastAsia="方正小标宋_GBK" w:cs="Times New Roman"/>
          <w:b w:val="0"/>
          <w:bCs w:val="0"/>
          <w:color w:val="auto"/>
          <w:kern w:val="0"/>
          <w:sz w:val="44"/>
          <w:szCs w:val="44"/>
          <w:highlight w:val="none"/>
          <w:lang w:val="en-US" w:eastAsia="zh-CN" w:bidi="ar"/>
        </w:rPr>
        <w:t>起草</w:t>
      </w:r>
      <w:r>
        <w:rPr>
          <w:rFonts w:hint="eastAsia" w:ascii="Times New Roman" w:hAnsi="Times New Roman" w:eastAsia="方正小标宋_GBK" w:cs="Times New Roman"/>
          <w:b w:val="0"/>
          <w:bCs w:val="0"/>
          <w:color w:val="auto"/>
          <w:kern w:val="0"/>
          <w:sz w:val="44"/>
          <w:szCs w:val="44"/>
          <w:highlight w:val="none"/>
          <w:lang w:val="en-US" w:eastAsia="zh-CN" w:bidi="ar"/>
        </w:rPr>
        <w:t>说明</w:t>
      </w:r>
    </w:p>
    <w:p w14:paraId="1862C90A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textAlignment w:val="auto"/>
        <w:rPr>
          <w:rFonts w:hint="default"/>
          <w:b w:val="0"/>
          <w:bCs w:val="0"/>
          <w:color w:val="auto"/>
          <w:lang w:val="en-US" w:eastAsia="zh-CN"/>
        </w:rPr>
      </w:pPr>
    </w:p>
    <w:p w14:paraId="0D0F76A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 w:bidi="ar"/>
        </w:rPr>
        <w:t>为积极应对人口老龄化，健全我市多层次社会保障体系，着力解决失能人员长期护理保障问题，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highlight w:val="none"/>
          <w:lang w:val="en-US" w:eastAsia="zh-CN" w:bidi="ar"/>
        </w:rPr>
        <w:t>根据《中共中央办公厅 国务院办公厅关于加快建立长期护理保险制度的意见》（厅字〔2025〕19号）、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highlight w:val="none"/>
          <w:u w:val="none"/>
          <w:lang w:val="en-US" w:eastAsia="zh-CN" w:bidi="ar"/>
        </w:rPr>
        <w:t>《</w:t>
      </w:r>
      <w:r>
        <w:rPr>
          <w:rFonts w:hint="default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highlight w:val="none"/>
          <w:u w:val="none"/>
          <w:lang w:val="en" w:eastAsia="zh-CN" w:bidi="ar"/>
        </w:rPr>
        <w:t>河南省人民政府办公厅关于印发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highlight w:val="none"/>
          <w:u w:val="none"/>
          <w:lang w:val="en-US" w:eastAsia="zh-CN" w:bidi="ar"/>
        </w:rPr>
        <w:t>河南省建立长期护理保险制度实施方案</w:t>
      </w:r>
      <w:r>
        <w:rPr>
          <w:rFonts w:hint="default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highlight w:val="none"/>
          <w:u w:val="none"/>
          <w:lang w:val="en" w:eastAsia="zh-CN" w:bidi="ar"/>
        </w:rPr>
        <w:t>的通知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highlight w:val="none"/>
          <w:u w:val="none"/>
          <w:lang w:val="en-US" w:eastAsia="zh-CN" w:bidi="ar"/>
        </w:rPr>
        <w:t>》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highlight w:val="none"/>
          <w:lang w:val="en-US" w:eastAsia="zh-CN" w:bidi="ar"/>
        </w:rPr>
        <w:t>（豫政办〔2026〕24号）等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 w:bidi="ar"/>
        </w:rPr>
        <w:t>精神，结合我市实际，我局牵头起草了《周口市长期护理保险实施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 w:bidi="ar"/>
        </w:rPr>
        <w:t>办法（试行）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 w:bidi="ar"/>
        </w:rPr>
        <w:t>》（以下简称《实施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 w:bidi="ar"/>
        </w:rPr>
        <w:t>办法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 w:bidi="ar"/>
        </w:rPr>
        <w:t>》）。现将《实施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 w:bidi="ar"/>
        </w:rPr>
        <w:t>办法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 w:bidi="ar"/>
        </w:rPr>
        <w:t>》起草情况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 w:bidi="ar"/>
        </w:rPr>
        <w:t>说明如下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 w:bidi="ar"/>
        </w:rPr>
        <w:t>：</w:t>
      </w:r>
    </w:p>
    <w:p w14:paraId="7CA439B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firstLine="640" w:firstLineChars="200"/>
        <w:textAlignment w:val="auto"/>
        <w:rPr>
          <w:rFonts w:hint="default" w:ascii="Times New Roman" w:hAnsi="Times New Roman" w:eastAsia="黑体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 w:bidi="ar"/>
        </w:rPr>
      </w:pPr>
      <w:r>
        <w:rPr>
          <w:rFonts w:hint="default" w:ascii="Times New Roman" w:hAnsi="Times New Roman" w:eastAsia="黑体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 w:bidi="ar"/>
        </w:rPr>
        <w:t>一、起草背景与必要性</w:t>
      </w:r>
      <w:bookmarkStart w:id="1" w:name="_GoBack"/>
      <w:bookmarkEnd w:id="1"/>
    </w:p>
    <w:p w14:paraId="22FB764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一是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highlight w:val="none"/>
          <w:lang w:val="en-US" w:eastAsia="zh-CN" w:bidi="ar"/>
        </w:rPr>
        <w:t>落实上级决策部署的需要。 当前人口老龄化加快，失能人员护理负担沉重，“一人失能、全家失衡”问题突出。建立长期护理保险制度是党中央、国务院的重大决策部署，国家、省均明确要求加快推进；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二是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highlight w:val="none"/>
          <w:lang w:val="en-US" w:eastAsia="zh-CN" w:bidi="ar"/>
        </w:rPr>
        <w:t>补齐社会保障短板的客观要求。我市60岁以上老年人口占比达23.31%，高于全国、全省平均水平，失能人员照护需求巨大。当前，我市医保体系主要覆盖疾病治疗，尚未建立专门的长期护理保障制度。建立长期护理保险有利于补齐短板，减轻失能家庭负担，促进养老和健康产业发展；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三是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highlight w:val="none"/>
          <w:lang w:val="en-US" w:eastAsia="zh-CN" w:bidi="ar"/>
        </w:rPr>
        <w:t>长期护理保险涉及参保、筹资、待遇、评估、服务、监管等多环节，亟需制定系统完备、操作性强的实施办法，为制度落地提供规范指引。</w:t>
      </w:r>
    </w:p>
    <w:p w14:paraId="6BCBB9C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default" w:ascii="Times New Roman" w:hAnsi="Times New Roman" w:eastAsia="黑体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 w:bidi="ar"/>
        </w:rPr>
      </w:pPr>
      <w:r>
        <w:rPr>
          <w:rFonts w:hint="default" w:ascii="Times New Roman" w:hAnsi="Times New Roman" w:eastAsia="黑体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 w:bidi="ar"/>
        </w:rPr>
        <w:t>二、</w:t>
      </w:r>
      <w:r>
        <w:rPr>
          <w:rFonts w:hint="eastAsia" w:ascii="Times New Roman" w:hAnsi="Times New Roman" w:eastAsia="黑体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 w:bidi="ar"/>
        </w:rPr>
        <w:t>起草过程及预期效果</w:t>
      </w:r>
    </w:p>
    <w:p w14:paraId="5144279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Style w:val="14"/>
          <w:rFonts w:hint="eastAsia" w:ascii="Times New Roman" w:hAnsi="Times New Roman" w:eastAsia="楷体_GB2312" w:cs="Times New Roman"/>
          <w:b w:val="0"/>
          <w:bCs w:val="0"/>
          <w:i w:val="0"/>
          <w:iCs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（一）起草过程。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坚持科学立法与民主立法相结合。在起草过程中，我们以协同为基础，书面征求市财政局、市税务局、市民政局、市人力资源和社会保障局、市卫生健康委、市农业农村局、市残联等7个核心部门意见，充分达成部门共识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。</w:t>
      </w:r>
    </w:p>
    <w:p w14:paraId="711BE3F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Style w:val="14"/>
          <w:rFonts w:hint="eastAsia" w:ascii="Times New Roman" w:hAnsi="Times New Roman" w:eastAsia="楷体_GB2312" w:cs="Times New Roman"/>
          <w:b w:val="0"/>
          <w:bCs w:val="0"/>
          <w:i w:val="0"/>
          <w:iCs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（二）预期效果。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目前，我市失能人员多由家庭成员照护，家庭不仅承受着巨大的精神压力，更面临收入中断、护理支出增加的双重经济负担。为确保政策设计达到应有效能，我们对实施效果进行了综合研判：长期护理保险实施后，通过基金支付让失能人员享有专业、规范的护理服务，改善其生存质量与人格尊严，也帮助“久病床前”的家人重新获得就业增收、参与社会生活的机会，将直接惠及我市5万余名重度失能人员，有效破解“一人失能、全家失衡”的民生痛点。</w:t>
      </w:r>
    </w:p>
    <w:p w14:paraId="3F98A7F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firstLine="640" w:firstLineChars="200"/>
        <w:textAlignment w:val="auto"/>
        <w:rPr>
          <w:rFonts w:hint="default" w:ascii="Times New Roman" w:hAnsi="Times New Roman" w:eastAsia="黑体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 w:bidi="ar"/>
        </w:rPr>
      </w:pPr>
      <w:r>
        <w:rPr>
          <w:rFonts w:hint="eastAsia" w:ascii="Times New Roman" w:hAnsi="Times New Roman" w:eastAsia="黑体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 w:bidi="ar"/>
        </w:rPr>
        <w:t>三</w:t>
      </w:r>
      <w:r>
        <w:rPr>
          <w:rFonts w:hint="default" w:ascii="Times New Roman" w:hAnsi="Times New Roman" w:eastAsia="黑体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 w:bidi="ar"/>
        </w:rPr>
        <w:t>、起草的主要思路与原则</w:t>
      </w:r>
    </w:p>
    <w:p w14:paraId="18AAAE3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 w:bidi="ar"/>
        </w:rPr>
        <w:t>《实施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 w:bidi="ar"/>
        </w:rPr>
        <w:t>办法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 w:bidi="ar"/>
        </w:rPr>
        <w:t>》的起草坚持以人民为中心的发展思想，遵循“公平适度、保障基本、统筹有序”原则，贯彻“覆盖全民、统筹城乡、公平统一、安全规范、可持续”的总要求，主要思路如下：</w:t>
      </w:r>
    </w:p>
    <w:p w14:paraId="6BBDF64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</w:rPr>
      </w:pPr>
      <w:r>
        <w:rPr>
          <w:rStyle w:val="14"/>
          <w:rFonts w:hint="default" w:ascii="Times New Roman" w:hAnsi="Times New Roman" w:eastAsia="楷体_GB2312" w:cs="Times New Roman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（一）</w:t>
      </w:r>
      <w:r>
        <w:rPr>
          <w:rStyle w:val="14"/>
          <w:rFonts w:hint="default" w:ascii="Times New Roman" w:hAnsi="Times New Roman" w:eastAsia="楷体_GB2312" w:cs="Times New Roman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坚持公平适度，保障基本。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制度设计立足我市经济社会发展水平和各方面承受能力，聚焦重度失能人员的基本护理需求，合理确定保障范围和待遇标准，做到量力而行、尽力而为。</w:t>
      </w:r>
    </w:p>
    <w:p w14:paraId="35FBBC39"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560" w:lineRule="exact"/>
        <w:ind w:left="0" w:leftChars="0"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</w:pPr>
      <w:r>
        <w:rPr>
          <w:rStyle w:val="14"/>
          <w:rFonts w:hint="default" w:ascii="Times New Roman" w:hAnsi="Times New Roman" w:eastAsia="楷体_GB2312" w:cs="Times New Roman"/>
          <w:b w:val="0"/>
          <w:bCs w:val="0"/>
          <w:i w:val="0"/>
          <w:iCs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（二）坚持多方筹资，责任共担。 </w:t>
      </w:r>
      <w:r>
        <w:rPr>
          <w:rFonts w:hint="eastAsia" w:ascii="Times New Roman" w:hAnsi="Times New Roman" w:eastAsia="仿宋_GB2312" w:cs="Times New Roman"/>
          <w:b w:val="0"/>
          <w:bCs w:val="0"/>
          <w:i w:val="0"/>
          <w:iCs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明确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单位、个人、财政等各方缴费责任</w:t>
      </w:r>
      <w:r>
        <w:rPr>
          <w:rFonts w:hint="eastAsia" w:ascii="Times New Roman" w:hAnsi="Times New Roman" w:eastAsia="仿宋_GB2312" w:cs="Times New Roman"/>
          <w:b w:val="0"/>
          <w:bCs w:val="0"/>
          <w:i w:val="0"/>
          <w:iCs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，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对困难群体参保给予分类资助，体现社会公平与互助共济。单位缴费部分从基本医疗保险费中划转，不增加单位额外负担，确保平稳衔接。</w:t>
      </w:r>
    </w:p>
    <w:p w14:paraId="699A7447"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560" w:lineRule="exact"/>
        <w:ind w:left="0" w:leftChars="0"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</w:pPr>
      <w:r>
        <w:rPr>
          <w:rStyle w:val="14"/>
          <w:rFonts w:hint="default" w:ascii="Times New Roman" w:hAnsi="Times New Roman" w:eastAsia="楷体_GB2312" w:cs="Times New Roman"/>
          <w:b w:val="0"/>
          <w:bCs w:val="0"/>
          <w:i w:val="0"/>
          <w:iCs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（三）坚持市级统筹，</w:t>
      </w:r>
      <w:r>
        <w:rPr>
          <w:rStyle w:val="14"/>
          <w:rFonts w:hint="eastAsia" w:ascii="Times New Roman" w:hAnsi="Times New Roman" w:eastAsia="楷体_GB2312" w:cs="Times New Roman"/>
          <w:b w:val="0"/>
          <w:bCs w:val="0"/>
          <w:i w:val="0"/>
          <w:iCs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统一规范</w:t>
      </w:r>
      <w:r>
        <w:rPr>
          <w:rStyle w:val="14"/>
          <w:rFonts w:hint="default" w:ascii="Times New Roman" w:hAnsi="Times New Roman" w:eastAsia="楷体_GB2312" w:cs="Times New Roman"/>
          <w:b w:val="0"/>
          <w:bCs w:val="0"/>
          <w:i w:val="0"/>
          <w:iCs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。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实行市级统筹，全市范围内制度政策统一、基金统收统支、管理服务一体。</w:t>
      </w:r>
    </w:p>
    <w:p w14:paraId="115CB4F5">
      <w:pPr>
        <w:pStyle w:val="9"/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560" w:lineRule="exact"/>
        <w:ind w:left="0" w:leftChars="0" w:right="0"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Style w:val="14"/>
          <w:rFonts w:hint="default" w:ascii="Times New Roman" w:hAnsi="Times New Roman" w:eastAsia="楷体_GB2312" w:cs="Times New Roman"/>
          <w:b w:val="0"/>
          <w:bCs w:val="0"/>
          <w:i w:val="0"/>
          <w:iCs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（四）坚持鼓励居家，社区优先。</w:t>
      </w:r>
      <w:r>
        <w:rPr>
          <w:rStyle w:val="14"/>
          <w:rFonts w:hint="default" w:ascii="Times New Roman" w:hAnsi="Times New Roman" w:eastAsia="仿宋_GB2312" w:cs="Times New Roman"/>
          <w:b w:val="0"/>
          <w:bCs w:val="0"/>
          <w:i w:val="0"/>
          <w:iCs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政策设计向居家和社区护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理服务倾斜，实行差异化支付</w:t>
      </w:r>
      <w:r>
        <w:rPr>
          <w:rFonts w:hint="eastAsia" w:ascii="Times New Roman" w:hAnsi="Times New Roman" w:eastAsia="仿宋_GB2312" w:cs="Times New Roman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标准</w:t>
      </w:r>
      <w:r>
        <w:rPr>
          <w:rFonts w:hint="eastAsia" w:ascii="Times New Roman" w:hAnsi="Times New Roman" w:eastAsia="仿宋_GB2312" w:cs="Times New Roman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。</w:t>
      </w:r>
    </w:p>
    <w:p w14:paraId="2E0A6914">
      <w:pPr>
        <w:pStyle w:val="9"/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560" w:lineRule="exact"/>
        <w:ind w:left="0" w:leftChars="0" w:right="0"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</w:rPr>
      </w:pPr>
      <w:r>
        <w:rPr>
          <w:rStyle w:val="14"/>
          <w:rFonts w:hint="default" w:ascii="Times New Roman" w:hAnsi="Times New Roman" w:eastAsia="楷体_GB2312" w:cs="Times New Roman"/>
          <w:b w:val="0"/>
          <w:bCs w:val="0"/>
          <w:i w:val="0"/>
          <w:iCs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（五）坚持稳妥起步，分步实施。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充分考虑制度建设的复杂性和我市实际情况，</w:t>
      </w:r>
      <w:r>
        <w:rPr>
          <w:rFonts w:hint="eastAsia" w:ascii="Times New Roman" w:hAnsi="Times New Roman" w:eastAsia="仿宋_GB2312" w:cs="Times New Roman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计划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先</w:t>
      </w:r>
      <w:r>
        <w:rPr>
          <w:rFonts w:hint="eastAsia" w:ascii="Times New Roman" w:hAnsi="Times New Roman" w:eastAsia="仿宋_GB2312" w:cs="Times New Roman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从职工起步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，再逐步扩展到城乡居民，设定合理过渡期，确保制度平稳落地、可持续发展。</w:t>
      </w:r>
    </w:p>
    <w:p w14:paraId="59A4738B"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560" w:lineRule="exact"/>
        <w:ind w:left="0" w:leftChars="0" w:firstLine="640" w:firstLineChars="200"/>
        <w:textAlignment w:val="auto"/>
        <w:rPr>
          <w:rStyle w:val="14"/>
          <w:rFonts w:hint="default" w:ascii="Times New Roman" w:hAnsi="Times New Roman" w:eastAsia="黑体" w:cs="Times New Roman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</w:pPr>
      <w:r>
        <w:rPr>
          <w:rStyle w:val="14"/>
          <w:rFonts w:hint="eastAsia" w:ascii="Times New Roman" w:hAnsi="Times New Roman" w:eastAsia="黑体" w:cs="Times New Roman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四</w:t>
      </w:r>
      <w:r>
        <w:rPr>
          <w:rStyle w:val="14"/>
          <w:rFonts w:hint="default" w:ascii="Times New Roman" w:hAnsi="Times New Roman" w:eastAsia="黑体" w:cs="Times New Roman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、《</w:t>
      </w:r>
      <w:r>
        <w:rPr>
          <w:rFonts w:hint="default" w:ascii="Times New Roman" w:hAnsi="Times New Roman" w:eastAsia="黑体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 w:bidi="ar"/>
        </w:rPr>
        <w:t>实施</w:t>
      </w:r>
      <w:r>
        <w:rPr>
          <w:rFonts w:hint="eastAsia" w:ascii="Times New Roman" w:hAnsi="Times New Roman" w:eastAsia="黑体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 w:bidi="ar"/>
        </w:rPr>
        <w:t>办法</w:t>
      </w:r>
      <w:r>
        <w:rPr>
          <w:rStyle w:val="14"/>
          <w:rFonts w:hint="default" w:ascii="Times New Roman" w:hAnsi="Times New Roman" w:eastAsia="黑体" w:cs="Times New Roman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》主要内容</w:t>
      </w:r>
    </w:p>
    <w:p w14:paraId="5501CC95"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560" w:lineRule="exact"/>
        <w:ind w:left="0" w:leftChars="0"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</w:pP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《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 w:bidi="ar"/>
        </w:rPr>
        <w:t>实施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 w:bidi="ar"/>
        </w:rPr>
        <w:t>办法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》共九章，主要内容包括：</w:t>
      </w:r>
    </w:p>
    <w:p w14:paraId="124EB295">
      <w:pPr>
        <w:pStyle w:val="9"/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560" w:lineRule="exact"/>
        <w:ind w:left="0" w:leftChars="0" w:right="0"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</w:pPr>
      <w:r>
        <w:rPr>
          <w:rStyle w:val="14"/>
          <w:rFonts w:hint="default" w:ascii="Times New Roman" w:hAnsi="Times New Roman" w:eastAsia="楷体_GB2312" w:cs="Times New Roman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（一）</w:t>
      </w:r>
      <w:r>
        <w:rPr>
          <w:rStyle w:val="14"/>
          <w:rFonts w:hint="default" w:ascii="Times New Roman" w:hAnsi="Times New Roman" w:eastAsia="楷体_GB2312" w:cs="Times New Roman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总则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。明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确了制定目的、依据、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长期护理保险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定义和基本原则。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遵循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“公平适度、保障基本、统筹有序”原则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，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贯彻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“覆盖全民、统筹城乡、公平统一、安全规范、可持续”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的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总要求。明确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highlight w:val="none"/>
          <w:lang w:val="en-US" w:eastAsia="zh-CN" w:bidi="ar"/>
        </w:rPr>
        <w:t>长期护理保险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为独立险种，实行市级统筹。分步实施：2026年底前启动实施就业人员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长期护理保险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制度，2028年起实现制度全覆盖。同时明确了各级政府及医疗保障、财政、税务、民政、人社、卫健、农业农村、残联等部门职责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分工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。</w:t>
      </w:r>
    </w:p>
    <w:p w14:paraId="53464C59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</w:pPr>
      <w:r>
        <w:rPr>
          <w:rStyle w:val="14"/>
          <w:rFonts w:hint="default" w:ascii="Times New Roman" w:hAnsi="Times New Roman" w:eastAsia="楷体_GB2312" w:cs="Times New Roman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（二）</w:t>
      </w:r>
      <w:r>
        <w:rPr>
          <w:rStyle w:val="14"/>
          <w:rFonts w:hint="eastAsia" w:ascii="Times New Roman" w:hAnsi="Times New Roman" w:eastAsia="楷体_GB2312" w:cs="Times New Roman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筹资机制</w:t>
      </w:r>
      <w:r>
        <w:rPr>
          <w:rStyle w:val="14"/>
          <w:rFonts w:hint="default" w:ascii="Times New Roman" w:hAnsi="Times New Roman" w:eastAsia="楷体_GB2312" w:cs="Times New Roman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。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明确覆盖全市基本医保参保人员。在职职工费率0.3%（单位、个人各0.15%）；退休人员0.15%；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highlight w:val="none"/>
          <w:lang w:val="en-US" w:eastAsia="zh-CN" w:bidi="ar"/>
        </w:rPr>
        <w:t>关闭破产企业退休人员费率为0.15%，缴费基数为我市上年度社会平均工资，由个人缴费。灵活就业人员按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highlight w:val="none"/>
          <w:lang w:val="en-US" w:eastAsia="zh-CN" w:bidi="ar"/>
        </w:rPr>
        <w:t>单位职工标准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0.3%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highlight w:val="none"/>
          <w:lang w:val="en-US" w:eastAsia="zh-CN" w:bidi="ar"/>
        </w:rPr>
        <w:t>执行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highlight w:val="none"/>
          <w:lang w:val="en-US" w:eastAsia="zh-CN" w:bidi="ar"/>
        </w:rPr>
        <w:t>，同时，将灵活就业人员参加职工基本医疗保险缴费费率由8.4%调整为8.25%。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未就业城乡居民个人与政府补助1:1，起步费率0.15%逐步过渡至0.3%。困难群体分类资助，18周岁以下跟随父母参保。</w:t>
      </w:r>
    </w:p>
    <w:p w14:paraId="53C47079">
      <w:pPr>
        <w:pStyle w:val="9"/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560" w:lineRule="exact"/>
        <w:ind w:left="0" w:leftChars="0" w:right="0"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Style w:val="14"/>
          <w:rFonts w:hint="default" w:ascii="Times New Roman" w:hAnsi="Times New Roman" w:eastAsia="楷体_GB2312" w:cs="Times New Roman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（三）</w:t>
      </w:r>
      <w:r>
        <w:rPr>
          <w:rStyle w:val="14"/>
          <w:rFonts w:hint="default" w:ascii="Times New Roman" w:hAnsi="Times New Roman" w:eastAsia="楷体_GB2312" w:cs="Times New Roman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待遇保障。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起步阶段保障重度失能人员，经评估认定后方可享受待遇。执行国家统一服务项目目录，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原则上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不直接向保障对象发放现金。支持机构护理、社区护理、居家护理三种服务方式，实行差异化支付比例：机构护理职工65%、未就业城乡居民45%；社区护理职工70%、未就业城乡居民50%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；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居家护理职工75%、未就业城乡居民55%。年度最高支付限额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按照职工和未就业城乡居民分别设定，最高不超过我市上年度城乡居民人均可支配收入的50%。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根据2025年度我市城乡居民人均可支配收入，确定制度实施初期，我市职工年度最高支付限额为12920元，未就业城乡居民年度最高支付限额7750元。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同时明确了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基金支付范围和不予支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付的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情形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。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建立连续参保激励机制和待遇等待期约束机制。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并做好与相关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政策的衔接。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 xml:space="preserve"> </w:t>
      </w:r>
    </w:p>
    <w:p w14:paraId="28A73DC1">
      <w:pPr>
        <w:pStyle w:val="9"/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560" w:lineRule="exact"/>
        <w:ind w:left="0" w:leftChars="0" w:right="0"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Style w:val="14"/>
          <w:rFonts w:hint="default" w:ascii="Times New Roman" w:hAnsi="Times New Roman" w:eastAsia="楷体_GB2312" w:cs="Times New Roman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（</w:t>
      </w:r>
      <w:r>
        <w:rPr>
          <w:rStyle w:val="14"/>
          <w:rFonts w:hint="eastAsia" w:ascii="Times New Roman" w:hAnsi="Times New Roman" w:eastAsia="楷体_GB2312" w:cs="Times New Roman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四</w:t>
      </w:r>
      <w:r>
        <w:rPr>
          <w:rStyle w:val="14"/>
          <w:rFonts w:hint="default" w:ascii="Times New Roman" w:hAnsi="Times New Roman" w:eastAsia="楷体_GB2312" w:cs="Times New Roman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）</w:t>
      </w:r>
      <w:r>
        <w:rPr>
          <w:rStyle w:val="14"/>
          <w:rFonts w:hint="default" w:ascii="Times New Roman" w:hAnsi="Times New Roman" w:eastAsia="楷体_GB2312" w:cs="Times New Roman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评估</w:t>
      </w:r>
      <w:r>
        <w:rPr>
          <w:rStyle w:val="14"/>
          <w:rFonts w:hint="eastAsia" w:ascii="Times New Roman" w:hAnsi="Times New Roman" w:eastAsia="楷体_GB2312" w:cs="Times New Roman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管理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。规定执行全国统一的失能等级评估标准。</w:t>
      </w:r>
      <w:r>
        <w:rPr>
          <w:rFonts w:hint="eastAsia" w:ascii="Times New Roman" w:hAnsi="Times New Roman" w:eastAsia="仿宋_GB2312" w:cs="Times New Roman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支持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发展独立</w:t>
      </w:r>
      <w:r>
        <w:rPr>
          <w:rFonts w:hint="eastAsia" w:ascii="Times New Roman" w:hAnsi="Times New Roman" w:eastAsia="仿宋_GB2312" w:cs="Times New Roman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的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评估机构，建立评估费用分担机制。</w:t>
      </w:r>
      <w:r>
        <w:rPr>
          <w:rFonts w:hint="eastAsia" w:ascii="Times New Roman" w:hAnsi="Times New Roman" w:eastAsia="仿宋_GB2312" w:cs="Times New Roman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 xml:space="preserve">     </w:t>
      </w:r>
    </w:p>
    <w:p w14:paraId="620A705E">
      <w:pPr>
        <w:pStyle w:val="9"/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560" w:lineRule="exact"/>
        <w:ind w:left="0" w:leftChars="0" w:right="0"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Style w:val="14"/>
          <w:rFonts w:hint="default" w:ascii="Times New Roman" w:hAnsi="Times New Roman" w:eastAsia="楷体_GB2312" w:cs="Times New Roman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（五）</w:t>
      </w:r>
      <w:r>
        <w:rPr>
          <w:rStyle w:val="14"/>
          <w:rFonts w:hint="default" w:ascii="Times New Roman" w:hAnsi="Times New Roman" w:eastAsia="楷体_GB2312" w:cs="Times New Roman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服务管理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。服务机构实行定点管理，支持基层医疗卫生机构、养老服务机构提供</w:t>
      </w:r>
      <w:r>
        <w:rPr>
          <w:rFonts w:hint="eastAsia" w:ascii="Times New Roman" w:hAnsi="Times New Roman" w:eastAsia="仿宋_GB2312" w:cs="Times New Roman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长期护理保险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服务。加强定点服务机构规范化管理，建立健全服务质量评价机制和费用控制激励约束机制。</w:t>
      </w:r>
      <w:r>
        <w:rPr>
          <w:rFonts w:hint="eastAsia" w:ascii="Times New Roman" w:hAnsi="Times New Roman" w:eastAsia="仿宋_GB2312" w:cs="Times New Roman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完善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支付机制和协商谈判机制。建立健全长期照护师</w:t>
      </w:r>
      <w:r>
        <w:rPr>
          <w:rFonts w:hint="eastAsia" w:ascii="Times New Roman" w:hAnsi="Times New Roman" w:eastAsia="仿宋_GB2312" w:cs="Times New Roman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及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评估人员培训机制</w:t>
      </w:r>
      <w:r>
        <w:rPr>
          <w:rFonts w:hint="eastAsia" w:ascii="Times New Roman" w:hAnsi="Times New Roman" w:eastAsia="仿宋_GB2312" w:cs="Times New Roman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。</w:t>
      </w:r>
    </w:p>
    <w:p w14:paraId="50CDF5DD">
      <w:pPr>
        <w:pStyle w:val="9"/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560" w:lineRule="exact"/>
        <w:ind w:left="0" w:leftChars="0" w:right="0"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</w:pPr>
      <w:r>
        <w:rPr>
          <w:rStyle w:val="14"/>
          <w:rFonts w:hint="default" w:ascii="Times New Roman" w:hAnsi="Times New Roman" w:eastAsia="楷体_GB2312" w:cs="Times New Roman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（六）</w:t>
      </w:r>
      <w:r>
        <w:rPr>
          <w:rStyle w:val="14"/>
          <w:rFonts w:hint="default" w:ascii="Times New Roman" w:hAnsi="Times New Roman" w:eastAsia="楷体_GB2312" w:cs="Times New Roman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基金管理与监督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。基金纳入财政专户单独管理，建立基金运行监控和风险防范机制，做好中长期精算分析。建立健全基金监管体系，完善欺诈骗保惩戒机制，加强财会监督和审计监督，</w:t>
      </w:r>
      <w:r>
        <w:rPr>
          <w:rFonts w:hint="eastAsia" w:ascii="Times New Roman" w:hAnsi="Times New Roman" w:eastAsia="仿宋_GB2312" w:cs="Times New Roman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纳入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常态化监管范围。</w:t>
      </w:r>
    </w:p>
    <w:p w14:paraId="4A21AF87">
      <w:pPr>
        <w:pStyle w:val="9"/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560" w:lineRule="exact"/>
        <w:ind w:left="0" w:leftChars="0" w:right="0"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</w:pPr>
      <w:r>
        <w:rPr>
          <w:rStyle w:val="14"/>
          <w:rFonts w:hint="default" w:ascii="Times New Roman" w:hAnsi="Times New Roman" w:eastAsia="楷体_GB2312" w:cs="Times New Roman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（七）</w:t>
      </w:r>
      <w:r>
        <w:rPr>
          <w:rStyle w:val="14"/>
          <w:rFonts w:hint="default" w:ascii="Times New Roman" w:hAnsi="Times New Roman" w:eastAsia="楷体_GB2312" w:cs="Times New Roman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经办服务。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加强经办能力建设，完善经办服务体系。税务部门负责保费征缴，实现与基本医疗保险同步参保缴费。可依法依规引入社会力量参与经办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管理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服务，相关费用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参照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当年筹资总额的4%从基金中支付。按照全省统一部署，做好跨统筹地区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highlight w:val="none"/>
          <w:lang w:val="en-US" w:eastAsia="zh-CN" w:bidi="ar"/>
        </w:rPr>
        <w:t>长期护理保险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关系转移接续工作，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做好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灵活就业人员、农民工、新就业形态人员参保缴费工作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确保其按规定享受待遇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。</w:t>
      </w:r>
    </w:p>
    <w:p w14:paraId="69E394DD">
      <w:pPr>
        <w:pStyle w:val="9"/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560" w:lineRule="exact"/>
        <w:ind w:left="0" w:leftChars="0" w:right="0"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Style w:val="14"/>
          <w:rFonts w:hint="default" w:ascii="Times New Roman" w:hAnsi="Times New Roman" w:eastAsia="楷体_GB2312" w:cs="Times New Roman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（八）</w:t>
      </w:r>
      <w:r>
        <w:rPr>
          <w:rStyle w:val="14"/>
          <w:rFonts w:hint="eastAsia" w:ascii="Times New Roman" w:hAnsi="Times New Roman" w:eastAsia="楷体_GB2312" w:cs="Times New Roman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信息化建设。</w:t>
      </w:r>
      <w:bookmarkStart w:id="0" w:name="OLE_LINK5"/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做好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全国统一的长期护理保险子系统应用，推进长期护理保险待遇享受人“一人一档”电子档案建设。持续推进长期护理保险标准化建设，建立健全专业技术标准体系和专家智库，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促进制度规范运行和可持续发展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。</w:t>
      </w:r>
      <w:bookmarkEnd w:id="0"/>
    </w:p>
    <w:p w14:paraId="7E4D5D6F">
      <w:pPr>
        <w:pStyle w:val="9"/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560" w:lineRule="exact"/>
        <w:ind w:left="0" w:leftChars="0" w:right="0"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</w:pPr>
    </w:p>
    <w:p w14:paraId="5D57227A">
      <w:pPr>
        <w:pStyle w:val="9"/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560" w:lineRule="exact"/>
        <w:ind w:left="0" w:leftChars="0" w:right="0"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</w:pPr>
    </w:p>
    <w:p w14:paraId="4B623C24">
      <w:pPr>
        <w:pStyle w:val="9"/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560" w:lineRule="exact"/>
        <w:ind w:left="0" w:leftChars="0" w:right="0" w:firstLine="6400" w:firstLineChars="2000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24"/>
          <w:szCs w:val="24"/>
          <w:shd w:val="clear" w:fill="FFFFFF"/>
          <w:lang w:val="en-US" w:eastAsia="zh-CN"/>
        </w:rPr>
      </w:pPr>
      <w:r>
        <w:rPr>
          <w:rStyle w:val="14"/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2026年7月3日</w:t>
      </w:r>
    </w:p>
    <w:p w14:paraId="7A1F4359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560" w:lineRule="exact"/>
        <w:ind w:left="0" w:leftChars="0"/>
        <w:textAlignment w:val="auto"/>
        <w:rPr>
          <w:rFonts w:hint="default" w:ascii="Times New Roman" w:hAnsi="Times New Roman" w:cs="Times New Roman"/>
          <w:b w:val="0"/>
          <w:bCs w:val="0"/>
          <w:color w:val="auto"/>
          <w:lang w:val="en-US" w:eastAsia="zh-CN"/>
        </w:rPr>
      </w:pPr>
    </w:p>
    <w:sectPr>
      <w:footerReference r:id="rId3" w:type="default"/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E995B57">
    <w:pPr>
      <w:pStyle w:val="7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95988F8">
                          <w:pPr>
                            <w:pStyle w:val="7"/>
                            <w:rPr>
                              <w:rFonts w:hint="default" w:asciiTheme="minorEastAsia" w:hAnsiTheme="minorEastAsia" w:eastAsiaTheme="minorEastAsia" w:cstheme="minorEastAsia"/>
                              <w:sz w:val="28"/>
                              <w:szCs w:val="28"/>
                              <w:lang w:val="en-US" w:eastAsia="zh-CN"/>
                            </w:rPr>
                          </w:pP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  <w:lang w:val="en-US" w:eastAsia="zh-CN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495988F8">
                    <w:pPr>
                      <w:pStyle w:val="7"/>
                      <w:rPr>
                        <w:rFonts w:hint="default" w:asciiTheme="minorEastAsia" w:hAnsiTheme="minorEastAsia" w:eastAsiaTheme="minorEastAsia" w:cstheme="minorEastAsia"/>
                        <w:sz w:val="28"/>
                        <w:szCs w:val="28"/>
                        <w:lang w:val="en-US" w:eastAsia="zh-CN"/>
                      </w:rPr>
                    </w:pP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  <w:lang w:eastAsia="zh-CN"/>
                      </w:rPr>
                      <w:t>—</w:t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  <w:lang w:val="en-US" w:eastAsia="zh-CN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WIwMTQyMjFmZDgxNzc4N2RkZmFmY2RkNDljM2NhYzkifQ=="/>
  </w:docVars>
  <w:rsids>
    <w:rsidRoot w:val="00000000"/>
    <w:rsid w:val="010D6029"/>
    <w:rsid w:val="01B446F6"/>
    <w:rsid w:val="020B5D15"/>
    <w:rsid w:val="03C26EDF"/>
    <w:rsid w:val="03D43768"/>
    <w:rsid w:val="0493234F"/>
    <w:rsid w:val="04C335CE"/>
    <w:rsid w:val="059A3C03"/>
    <w:rsid w:val="063B346D"/>
    <w:rsid w:val="06782196"/>
    <w:rsid w:val="07A70F85"/>
    <w:rsid w:val="07FC2953"/>
    <w:rsid w:val="081005F1"/>
    <w:rsid w:val="08251989"/>
    <w:rsid w:val="083B347B"/>
    <w:rsid w:val="083D3697"/>
    <w:rsid w:val="084542FA"/>
    <w:rsid w:val="084E1401"/>
    <w:rsid w:val="089E1B4B"/>
    <w:rsid w:val="091837BC"/>
    <w:rsid w:val="0AB14EE0"/>
    <w:rsid w:val="0AC91212"/>
    <w:rsid w:val="0AC92FC0"/>
    <w:rsid w:val="0AE222D4"/>
    <w:rsid w:val="0BC33EB3"/>
    <w:rsid w:val="0C790A16"/>
    <w:rsid w:val="0CA75583"/>
    <w:rsid w:val="0DCB704F"/>
    <w:rsid w:val="0E4F5ED2"/>
    <w:rsid w:val="0E910299"/>
    <w:rsid w:val="10036F74"/>
    <w:rsid w:val="118B7221"/>
    <w:rsid w:val="119765AC"/>
    <w:rsid w:val="11F97485"/>
    <w:rsid w:val="12282CC2"/>
    <w:rsid w:val="13850D55"/>
    <w:rsid w:val="13C7475D"/>
    <w:rsid w:val="142B0848"/>
    <w:rsid w:val="142E09DC"/>
    <w:rsid w:val="14777F31"/>
    <w:rsid w:val="153E767C"/>
    <w:rsid w:val="156376BD"/>
    <w:rsid w:val="161C2B3E"/>
    <w:rsid w:val="165319B5"/>
    <w:rsid w:val="16F2389F"/>
    <w:rsid w:val="17650515"/>
    <w:rsid w:val="178646ED"/>
    <w:rsid w:val="17920BDE"/>
    <w:rsid w:val="192F2E54"/>
    <w:rsid w:val="1936105D"/>
    <w:rsid w:val="19C6652A"/>
    <w:rsid w:val="19FA5149"/>
    <w:rsid w:val="1AA85F2F"/>
    <w:rsid w:val="1AC35C7E"/>
    <w:rsid w:val="1B99078D"/>
    <w:rsid w:val="1BD96DDB"/>
    <w:rsid w:val="1C142509"/>
    <w:rsid w:val="1C24274C"/>
    <w:rsid w:val="1CFE23A9"/>
    <w:rsid w:val="1D3B590A"/>
    <w:rsid w:val="1D682B0D"/>
    <w:rsid w:val="1DCB4E4A"/>
    <w:rsid w:val="1DD71A40"/>
    <w:rsid w:val="1DDC7EED"/>
    <w:rsid w:val="1F0E3240"/>
    <w:rsid w:val="1F332CA6"/>
    <w:rsid w:val="1F572E39"/>
    <w:rsid w:val="1FE76202"/>
    <w:rsid w:val="205E47E3"/>
    <w:rsid w:val="20B411F1"/>
    <w:rsid w:val="220D5A31"/>
    <w:rsid w:val="222E1BDD"/>
    <w:rsid w:val="224D407F"/>
    <w:rsid w:val="23024E6A"/>
    <w:rsid w:val="235F050E"/>
    <w:rsid w:val="237F295E"/>
    <w:rsid w:val="238E2BA1"/>
    <w:rsid w:val="241E5CD3"/>
    <w:rsid w:val="24E862E1"/>
    <w:rsid w:val="24FD7FDE"/>
    <w:rsid w:val="25657932"/>
    <w:rsid w:val="259A582D"/>
    <w:rsid w:val="26464141"/>
    <w:rsid w:val="265359DC"/>
    <w:rsid w:val="266D2F42"/>
    <w:rsid w:val="26DC3C24"/>
    <w:rsid w:val="26DE799C"/>
    <w:rsid w:val="26F1147D"/>
    <w:rsid w:val="27325B22"/>
    <w:rsid w:val="27C529F4"/>
    <w:rsid w:val="27E70AD2"/>
    <w:rsid w:val="2874680A"/>
    <w:rsid w:val="287A1946"/>
    <w:rsid w:val="29AF7F4F"/>
    <w:rsid w:val="29B6E1B0"/>
    <w:rsid w:val="2A092F82"/>
    <w:rsid w:val="2A25310B"/>
    <w:rsid w:val="2A6B7798"/>
    <w:rsid w:val="2B4F2A2C"/>
    <w:rsid w:val="2B577D1D"/>
    <w:rsid w:val="2B77682E"/>
    <w:rsid w:val="2D2E3032"/>
    <w:rsid w:val="2D564730"/>
    <w:rsid w:val="2E627104"/>
    <w:rsid w:val="2E911E65"/>
    <w:rsid w:val="2ED65C4F"/>
    <w:rsid w:val="2EEA2824"/>
    <w:rsid w:val="3025488D"/>
    <w:rsid w:val="312B522A"/>
    <w:rsid w:val="31AF0B33"/>
    <w:rsid w:val="31BE4652"/>
    <w:rsid w:val="31D64091"/>
    <w:rsid w:val="33230261"/>
    <w:rsid w:val="33732E68"/>
    <w:rsid w:val="339D78D3"/>
    <w:rsid w:val="33C0308E"/>
    <w:rsid w:val="340824FC"/>
    <w:rsid w:val="34AA43ED"/>
    <w:rsid w:val="34EE7BB1"/>
    <w:rsid w:val="352D221A"/>
    <w:rsid w:val="355552CD"/>
    <w:rsid w:val="35A61FCC"/>
    <w:rsid w:val="35E63AB2"/>
    <w:rsid w:val="37266EA0"/>
    <w:rsid w:val="378105FB"/>
    <w:rsid w:val="37BC1633"/>
    <w:rsid w:val="37F05781"/>
    <w:rsid w:val="382A0C93"/>
    <w:rsid w:val="38481119"/>
    <w:rsid w:val="38D86941"/>
    <w:rsid w:val="39191EED"/>
    <w:rsid w:val="39436C4C"/>
    <w:rsid w:val="3A79380C"/>
    <w:rsid w:val="3AF17846"/>
    <w:rsid w:val="3AF66CA7"/>
    <w:rsid w:val="3B385475"/>
    <w:rsid w:val="3BFC64A2"/>
    <w:rsid w:val="3C8E0EDC"/>
    <w:rsid w:val="3CEA09F1"/>
    <w:rsid w:val="3D212D64"/>
    <w:rsid w:val="3DE92B19"/>
    <w:rsid w:val="3E164BB3"/>
    <w:rsid w:val="3E75253C"/>
    <w:rsid w:val="3EBC016B"/>
    <w:rsid w:val="3F607809"/>
    <w:rsid w:val="3F744EE9"/>
    <w:rsid w:val="3F894C4C"/>
    <w:rsid w:val="3FBE2027"/>
    <w:rsid w:val="3FEB4594"/>
    <w:rsid w:val="408B4299"/>
    <w:rsid w:val="40F24A23"/>
    <w:rsid w:val="41456B3D"/>
    <w:rsid w:val="41A018F1"/>
    <w:rsid w:val="41B17D2F"/>
    <w:rsid w:val="41F67E38"/>
    <w:rsid w:val="420936C7"/>
    <w:rsid w:val="431162DE"/>
    <w:rsid w:val="43F06287"/>
    <w:rsid w:val="44024872"/>
    <w:rsid w:val="440931E8"/>
    <w:rsid w:val="44564BBE"/>
    <w:rsid w:val="44F22B38"/>
    <w:rsid w:val="45442C68"/>
    <w:rsid w:val="45C67AB0"/>
    <w:rsid w:val="46162856"/>
    <w:rsid w:val="46276812"/>
    <w:rsid w:val="46AF0101"/>
    <w:rsid w:val="46ED1809"/>
    <w:rsid w:val="473D3E13"/>
    <w:rsid w:val="47543636"/>
    <w:rsid w:val="47C50090"/>
    <w:rsid w:val="496833C9"/>
    <w:rsid w:val="49AE2465"/>
    <w:rsid w:val="4A714FAA"/>
    <w:rsid w:val="4BDB2578"/>
    <w:rsid w:val="4C20442F"/>
    <w:rsid w:val="4C4F48C4"/>
    <w:rsid w:val="4CDCC5E9"/>
    <w:rsid w:val="4D720CBA"/>
    <w:rsid w:val="4EF70D4B"/>
    <w:rsid w:val="4F0516BA"/>
    <w:rsid w:val="4F2E0C11"/>
    <w:rsid w:val="4F7613A4"/>
    <w:rsid w:val="4FE15C83"/>
    <w:rsid w:val="4FFA4F97"/>
    <w:rsid w:val="501F67AB"/>
    <w:rsid w:val="506D7517"/>
    <w:rsid w:val="50A646B5"/>
    <w:rsid w:val="512F1E25"/>
    <w:rsid w:val="51327BFC"/>
    <w:rsid w:val="527964F9"/>
    <w:rsid w:val="528B3100"/>
    <w:rsid w:val="529F45ED"/>
    <w:rsid w:val="52C90BF8"/>
    <w:rsid w:val="536754EB"/>
    <w:rsid w:val="544C155B"/>
    <w:rsid w:val="54B73456"/>
    <w:rsid w:val="54E81C63"/>
    <w:rsid w:val="55B300C2"/>
    <w:rsid w:val="563D3E2F"/>
    <w:rsid w:val="56574E4C"/>
    <w:rsid w:val="57741B5A"/>
    <w:rsid w:val="57C33EC0"/>
    <w:rsid w:val="5846521D"/>
    <w:rsid w:val="589C10C2"/>
    <w:rsid w:val="58A74CA6"/>
    <w:rsid w:val="58A80E04"/>
    <w:rsid w:val="58CB5722"/>
    <w:rsid w:val="58DC348C"/>
    <w:rsid w:val="5934151A"/>
    <w:rsid w:val="59FD5DAF"/>
    <w:rsid w:val="5A1225FB"/>
    <w:rsid w:val="5A753B98"/>
    <w:rsid w:val="5B757F9B"/>
    <w:rsid w:val="5BBB382C"/>
    <w:rsid w:val="5CD0339E"/>
    <w:rsid w:val="5D223225"/>
    <w:rsid w:val="5E127D51"/>
    <w:rsid w:val="5E264346"/>
    <w:rsid w:val="5E897C12"/>
    <w:rsid w:val="5E9E3287"/>
    <w:rsid w:val="5F487ACD"/>
    <w:rsid w:val="5F8B4982"/>
    <w:rsid w:val="5FDFD741"/>
    <w:rsid w:val="612C0D28"/>
    <w:rsid w:val="6186668A"/>
    <w:rsid w:val="61F730E4"/>
    <w:rsid w:val="62457AB1"/>
    <w:rsid w:val="625D6BE5"/>
    <w:rsid w:val="63097573"/>
    <w:rsid w:val="636817BE"/>
    <w:rsid w:val="636C365E"/>
    <w:rsid w:val="6372336A"/>
    <w:rsid w:val="63B01B0F"/>
    <w:rsid w:val="640815D9"/>
    <w:rsid w:val="64281C7B"/>
    <w:rsid w:val="646E31AA"/>
    <w:rsid w:val="64EE1A97"/>
    <w:rsid w:val="64F8164D"/>
    <w:rsid w:val="65165F77"/>
    <w:rsid w:val="6569CB52"/>
    <w:rsid w:val="66815672"/>
    <w:rsid w:val="66C13CC1"/>
    <w:rsid w:val="66CC0FE3"/>
    <w:rsid w:val="66DB2FD4"/>
    <w:rsid w:val="67024D25"/>
    <w:rsid w:val="672C0E52"/>
    <w:rsid w:val="67362901"/>
    <w:rsid w:val="679B2764"/>
    <w:rsid w:val="67C812B6"/>
    <w:rsid w:val="68543999"/>
    <w:rsid w:val="6A554E4C"/>
    <w:rsid w:val="6A9242F2"/>
    <w:rsid w:val="6B086362"/>
    <w:rsid w:val="6BBF0763"/>
    <w:rsid w:val="6BEA52B7"/>
    <w:rsid w:val="6BF6265F"/>
    <w:rsid w:val="6C64569A"/>
    <w:rsid w:val="6D243A00"/>
    <w:rsid w:val="6E3B091D"/>
    <w:rsid w:val="6E492F1A"/>
    <w:rsid w:val="6E4A15FE"/>
    <w:rsid w:val="6E6C605B"/>
    <w:rsid w:val="6E9543B1"/>
    <w:rsid w:val="6F374E0B"/>
    <w:rsid w:val="7015321B"/>
    <w:rsid w:val="7060279C"/>
    <w:rsid w:val="70645DE9"/>
    <w:rsid w:val="706E310B"/>
    <w:rsid w:val="707B3132"/>
    <w:rsid w:val="710F044A"/>
    <w:rsid w:val="716564E1"/>
    <w:rsid w:val="72772C62"/>
    <w:rsid w:val="72A03324"/>
    <w:rsid w:val="72D97831"/>
    <w:rsid w:val="73305994"/>
    <w:rsid w:val="73697BBA"/>
    <w:rsid w:val="73AE0C4C"/>
    <w:rsid w:val="73E2320E"/>
    <w:rsid w:val="746A3BEA"/>
    <w:rsid w:val="74D06143"/>
    <w:rsid w:val="75114065"/>
    <w:rsid w:val="75322959"/>
    <w:rsid w:val="757D16FB"/>
    <w:rsid w:val="75B01AD0"/>
    <w:rsid w:val="76A50F09"/>
    <w:rsid w:val="76D77B85"/>
    <w:rsid w:val="76E9529A"/>
    <w:rsid w:val="77302EC9"/>
    <w:rsid w:val="777728A5"/>
    <w:rsid w:val="77844FC2"/>
    <w:rsid w:val="780B56E4"/>
    <w:rsid w:val="79A656C4"/>
    <w:rsid w:val="79B20B7E"/>
    <w:rsid w:val="79CB6ED9"/>
    <w:rsid w:val="79F13DDD"/>
    <w:rsid w:val="7AE00762"/>
    <w:rsid w:val="7B607678"/>
    <w:rsid w:val="7B7B048A"/>
    <w:rsid w:val="7BF00E78"/>
    <w:rsid w:val="7C016BE2"/>
    <w:rsid w:val="7C5A16E9"/>
    <w:rsid w:val="7C831CEC"/>
    <w:rsid w:val="7CAD7055"/>
    <w:rsid w:val="7DE70902"/>
    <w:rsid w:val="7E0D1B9F"/>
    <w:rsid w:val="7E437BE2"/>
    <w:rsid w:val="7EBA375E"/>
    <w:rsid w:val="7F2C0419"/>
    <w:rsid w:val="7F3F3CAD"/>
    <w:rsid w:val="7FFD5A70"/>
    <w:rsid w:val="A47B56A8"/>
    <w:rsid w:val="BE9EBB3B"/>
    <w:rsid w:val="BF77C069"/>
    <w:rsid w:val="D8BC7A94"/>
    <w:rsid w:val="DDDCC897"/>
    <w:rsid w:val="EB3BB21D"/>
    <w:rsid w:val="EEE89797"/>
    <w:rsid w:val="F6D9230D"/>
    <w:rsid w:val="FD7F4949"/>
    <w:rsid w:val="FDBF88D1"/>
    <w:rsid w:val="FEDFF8AA"/>
    <w:rsid w:val="FF3773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13">
    <w:name w:val="Default Paragraph Font"/>
    <w:semiHidden/>
    <w:qFormat/>
    <w:uiPriority w:val="0"/>
  </w:style>
  <w:style w:type="table" w:default="1" w:styleId="1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Indent"/>
    <w:basedOn w:val="1"/>
    <w:qFormat/>
    <w:uiPriority w:val="0"/>
    <w:pPr>
      <w:spacing w:line="500" w:lineRule="exact"/>
      <w:ind w:firstLine="420"/>
    </w:pPr>
    <w:rPr>
      <w:sz w:val="28"/>
      <w:szCs w:val="20"/>
    </w:rPr>
  </w:style>
  <w:style w:type="paragraph" w:styleId="4">
    <w:name w:val="annotation text"/>
    <w:basedOn w:val="1"/>
    <w:qFormat/>
    <w:uiPriority w:val="0"/>
    <w:pPr>
      <w:jc w:val="left"/>
    </w:pPr>
  </w:style>
  <w:style w:type="paragraph" w:styleId="5">
    <w:name w:val="Body Text"/>
    <w:basedOn w:val="1"/>
    <w:next w:val="1"/>
    <w:qFormat/>
    <w:uiPriority w:val="0"/>
    <w:pPr>
      <w:ind w:firstLine="2249" w:firstLineChars="200"/>
    </w:pPr>
    <w:rPr>
      <w:sz w:val="30"/>
      <w:szCs w:val="32"/>
    </w:rPr>
  </w:style>
  <w:style w:type="paragraph" w:styleId="6">
    <w:name w:val="Body Text Indent"/>
    <w:basedOn w:val="1"/>
    <w:qFormat/>
    <w:uiPriority w:val="0"/>
    <w:pPr>
      <w:spacing w:after="120" w:afterLines="0" w:afterAutospacing="0"/>
      <w:ind w:left="420" w:leftChars="200"/>
    </w:pPr>
  </w:style>
  <w:style w:type="paragraph" w:styleId="7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8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9">
    <w:name w:val="Normal (Web)"/>
    <w:basedOn w:val="1"/>
    <w:qFormat/>
    <w:uiPriority w:val="0"/>
    <w:rPr>
      <w:sz w:val="24"/>
    </w:rPr>
  </w:style>
  <w:style w:type="paragraph" w:styleId="10">
    <w:name w:val="Body Text First Indent"/>
    <w:basedOn w:val="5"/>
    <w:qFormat/>
    <w:uiPriority w:val="0"/>
    <w:pPr>
      <w:spacing w:before="1"/>
      <w:ind w:left="120" w:firstLine="420" w:firstLineChars="100"/>
    </w:pPr>
    <w:rPr>
      <w:rFonts w:ascii="宋体" w:hAnsi="宋体" w:eastAsia="宋体" w:cs="宋体"/>
      <w:sz w:val="19"/>
      <w:szCs w:val="19"/>
    </w:rPr>
  </w:style>
  <w:style w:type="paragraph" w:styleId="11">
    <w:name w:val="Body Text First Indent 2"/>
    <w:basedOn w:val="6"/>
    <w:next w:val="10"/>
    <w:qFormat/>
    <w:uiPriority w:val="0"/>
    <w:pPr>
      <w:ind w:firstLine="420" w:firstLineChars="200"/>
    </w:pPr>
  </w:style>
  <w:style w:type="character" w:styleId="14">
    <w:name w:val="Strong"/>
    <w:basedOn w:val="13"/>
    <w:qFormat/>
    <w:uiPriority w:val="0"/>
    <w:rPr>
      <w:b/>
    </w:rPr>
  </w:style>
  <w:style w:type="character" w:styleId="15">
    <w:name w:val="Hyperlink"/>
    <w:basedOn w:val="13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2543</Words>
  <Characters>2626</Characters>
  <Lines>0</Lines>
  <Paragraphs>0</Paragraphs>
  <TotalTime>3</TotalTime>
  <ScaleCrop>false</ScaleCrop>
  <LinksUpToDate>false</LinksUpToDate>
  <CharactersWithSpaces>2665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2014-10-30T20:08:00Z</dcterms:created>
  <dc:creator>Administrator</dc:creator>
  <cp:lastModifiedBy>李杰</cp:lastModifiedBy>
  <cp:lastPrinted>2026-07-03T09:42:57Z</cp:lastPrinted>
  <dcterms:modified xsi:type="dcterms:W3CDTF">2026-07-03T09:46:57Z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26E76C8B346A483196E7B47E849BCCD0_13</vt:lpwstr>
  </property>
  <property fmtid="{D5CDD505-2E9C-101B-9397-08002B2CF9AE}" pid="4" name="KSOTemplateDocerSaveRecord">
    <vt:lpwstr>eyJoZGlkIjoiMjJmOGEyNjRmZGNmZDAwZDE5NjIzOTEyZDY5NDc5YjEiLCJ1c2VySWQiOiIzOTE3MzE3NTYifQ==</vt:lpwstr>
  </property>
</Properties>
</file>