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1E9FAE">
      <w:pPr>
        <w:keepNext w:val="0"/>
        <w:keepLines w:val="0"/>
        <w:pageBreakBefore w:val="0"/>
        <w:widowControl w:val="0"/>
        <w:kinsoku/>
        <w:wordWrap/>
        <w:overflowPunct/>
        <w:topLinePunct/>
        <w:autoSpaceDE w:val="0"/>
        <w:autoSpaceDN/>
        <w:bidi w:val="0"/>
        <w:adjustRightInd/>
        <w:snapToGrid/>
        <w:spacing w:line="600" w:lineRule="exact"/>
        <w:ind w:left="0" w:leftChars="0"/>
        <w:jc w:val="center"/>
        <w:textAlignment w:val="auto"/>
        <w:rPr>
          <w:rFonts w:hint="default" w:ascii="Times New Roman" w:hAnsi="Times New Roman" w:eastAsia="方正小标宋_GBK" w:cs="Times New Roman"/>
          <w:b w:val="0"/>
          <w:bCs w:val="0"/>
          <w:i w:val="0"/>
          <w:iCs w:val="0"/>
          <w:caps w:val="0"/>
          <w:color w:val="auto"/>
          <w:spacing w:val="0"/>
          <w:sz w:val="44"/>
          <w:szCs w:val="44"/>
          <w:highlight w:val="none"/>
          <w:u w:val="none"/>
          <w:shd w:val="clear" w:fill="FFFFFF"/>
          <w:vertAlign w:val="baseline"/>
          <w:lang w:val="en-US" w:eastAsia="zh-CN"/>
        </w:rPr>
      </w:pPr>
      <w:bookmarkStart w:id="0" w:name="OLE_LINK1"/>
      <w:r>
        <w:rPr>
          <w:rFonts w:hint="default" w:ascii="Times New Roman" w:hAnsi="Times New Roman" w:eastAsia="方正小标宋_GBK" w:cs="Times New Roman"/>
          <w:b w:val="0"/>
          <w:bCs w:val="0"/>
          <w:color w:val="auto"/>
          <w:kern w:val="0"/>
          <w:sz w:val="44"/>
          <w:szCs w:val="44"/>
          <w:highlight w:val="none"/>
          <w:lang w:val="en-US" w:eastAsia="zh-CN" w:bidi="ar"/>
        </w:rPr>
        <w:t>周口</w:t>
      </w:r>
      <w:r>
        <w:rPr>
          <w:rFonts w:hint="default" w:ascii="Times New Roman" w:hAnsi="Times New Roman" w:eastAsia="方正小标宋_GBK" w:cs="Times New Roman"/>
          <w:b w:val="0"/>
          <w:bCs w:val="0"/>
          <w:i w:val="0"/>
          <w:iCs w:val="0"/>
          <w:caps w:val="0"/>
          <w:color w:val="auto"/>
          <w:spacing w:val="0"/>
          <w:sz w:val="44"/>
          <w:szCs w:val="44"/>
          <w:highlight w:val="none"/>
          <w:u w:val="none"/>
          <w:shd w:val="clear" w:fill="FFFFFF"/>
          <w:vertAlign w:val="baseline"/>
          <w:lang w:val="en-US" w:eastAsia="zh-CN"/>
        </w:rPr>
        <w:t>市长期护理保险实施</w:t>
      </w:r>
      <w:r>
        <w:rPr>
          <w:rFonts w:hint="eastAsia" w:ascii="Times New Roman" w:hAnsi="Times New Roman" w:eastAsia="方正小标宋_GBK" w:cs="Times New Roman"/>
          <w:b w:val="0"/>
          <w:bCs w:val="0"/>
          <w:i w:val="0"/>
          <w:iCs w:val="0"/>
          <w:caps w:val="0"/>
          <w:color w:val="auto"/>
          <w:spacing w:val="0"/>
          <w:sz w:val="44"/>
          <w:szCs w:val="44"/>
          <w:highlight w:val="none"/>
          <w:u w:val="none"/>
          <w:shd w:val="clear" w:fill="FFFFFF"/>
          <w:vertAlign w:val="baseline"/>
          <w:lang w:val="en-US" w:eastAsia="zh-CN"/>
        </w:rPr>
        <w:t>办法（试行）</w:t>
      </w:r>
    </w:p>
    <w:p w14:paraId="0B61DF5F">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0" w:firstLineChars="0"/>
        <w:jc w:val="center"/>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（征求意见稿）</w:t>
      </w:r>
    </w:p>
    <w:p w14:paraId="7E1F0A51">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0" w:firstLineChars="0"/>
        <w:jc w:val="both"/>
        <w:textAlignment w:val="auto"/>
        <w:rPr>
          <w:rFonts w:hint="default" w:ascii="Times New Roman" w:hAnsi="Times New Roman" w:eastAsia="黑体" w:cs="Times New Roman"/>
          <w:b w:val="0"/>
          <w:bCs w:val="0"/>
          <w:color w:val="auto"/>
          <w:kern w:val="0"/>
          <w:sz w:val="32"/>
          <w:szCs w:val="32"/>
          <w:highlight w:val="none"/>
          <w:lang w:val="en-US" w:eastAsia="zh-CN" w:bidi="ar"/>
        </w:rPr>
      </w:pPr>
    </w:p>
    <w:p w14:paraId="4BA0D760">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0" w:firstLineChars="0"/>
        <w:jc w:val="center"/>
        <w:textAlignment w:val="auto"/>
        <w:rPr>
          <w:rFonts w:hint="default"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第一章 总  则</w:t>
      </w:r>
    </w:p>
    <w:p w14:paraId="67E3BED4">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u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一</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0"/>
          <w:sz w:val="32"/>
          <w:szCs w:val="32"/>
          <w:highlight w:val="none"/>
          <w:lang w:val="en-US" w:eastAsia="zh-CN" w:bidi="ar"/>
        </w:rPr>
        <w:t>为加快建立长期护理保险制度，积极应对人口老龄化，保障失能人员基本护理需求，根据《中共中央办公厅 国务院办公厅关于加快建立长期护理保险制度的意见》（厅字〔2025〕19号）、</w:t>
      </w:r>
      <w:r>
        <w:rPr>
          <w:rFonts w:hint="eastAsia" w:ascii="仿宋_GB2312" w:hAnsi="仿宋_GB2312" w:eastAsia="仿宋_GB2312" w:cs="仿宋_GB2312"/>
          <w:b w:val="0"/>
          <w:bCs w:val="0"/>
          <w:color w:val="auto"/>
          <w:kern w:val="0"/>
          <w:sz w:val="32"/>
          <w:szCs w:val="32"/>
          <w:highlight w:val="none"/>
          <w:u w:val="none"/>
          <w:lang w:val="en-US" w:eastAsia="zh-CN" w:bidi="ar"/>
        </w:rPr>
        <w:t>《</w:t>
      </w:r>
      <w:r>
        <w:rPr>
          <w:rFonts w:hint="default" w:ascii="仿宋_GB2312" w:hAnsi="仿宋_GB2312" w:eastAsia="仿宋_GB2312" w:cs="仿宋_GB2312"/>
          <w:b w:val="0"/>
          <w:bCs w:val="0"/>
          <w:color w:val="auto"/>
          <w:kern w:val="0"/>
          <w:sz w:val="32"/>
          <w:szCs w:val="32"/>
          <w:highlight w:val="none"/>
          <w:u w:val="none"/>
          <w:lang w:val="en" w:eastAsia="zh-CN" w:bidi="ar"/>
        </w:rPr>
        <w:t>河南省人民政府办公厅关于印发</w:t>
      </w:r>
      <w:r>
        <w:rPr>
          <w:rFonts w:hint="eastAsia" w:ascii="仿宋_GB2312" w:hAnsi="仿宋_GB2312" w:eastAsia="仿宋_GB2312" w:cs="仿宋_GB2312"/>
          <w:b w:val="0"/>
          <w:bCs w:val="0"/>
          <w:color w:val="auto"/>
          <w:kern w:val="0"/>
          <w:sz w:val="32"/>
          <w:szCs w:val="32"/>
          <w:highlight w:val="none"/>
          <w:u w:val="none"/>
          <w:lang w:val="en-US" w:eastAsia="zh-CN" w:bidi="ar"/>
        </w:rPr>
        <w:t>河南省建立长期护理保险制度实施方案</w:t>
      </w:r>
      <w:r>
        <w:rPr>
          <w:rFonts w:hint="default" w:ascii="仿宋_GB2312" w:hAnsi="仿宋_GB2312" w:eastAsia="仿宋_GB2312" w:cs="仿宋_GB2312"/>
          <w:b w:val="0"/>
          <w:bCs w:val="0"/>
          <w:color w:val="auto"/>
          <w:kern w:val="0"/>
          <w:sz w:val="32"/>
          <w:szCs w:val="32"/>
          <w:highlight w:val="none"/>
          <w:u w:val="none"/>
          <w:lang w:val="en" w:eastAsia="zh-CN" w:bidi="ar"/>
        </w:rPr>
        <w:t>的通知</w:t>
      </w:r>
      <w:r>
        <w:rPr>
          <w:rFonts w:hint="eastAsia" w:ascii="仿宋_GB2312" w:hAnsi="仿宋_GB2312" w:eastAsia="仿宋_GB2312" w:cs="仿宋_GB2312"/>
          <w:b w:val="0"/>
          <w:bCs w:val="0"/>
          <w:color w:val="auto"/>
          <w:kern w:val="0"/>
          <w:sz w:val="32"/>
          <w:szCs w:val="32"/>
          <w:highlight w:val="none"/>
          <w:u w:val="none"/>
          <w:lang w:val="en-US" w:eastAsia="zh-CN" w:bidi="ar"/>
        </w:rPr>
        <w:t>》</w:t>
      </w:r>
      <w:r>
        <w:rPr>
          <w:rFonts w:hint="eastAsia" w:ascii="仿宋_GB2312" w:hAnsi="仿宋_GB2312" w:eastAsia="仿宋_GB2312" w:cs="仿宋_GB2312"/>
          <w:b w:val="0"/>
          <w:bCs w:val="0"/>
          <w:color w:val="auto"/>
          <w:kern w:val="0"/>
          <w:sz w:val="32"/>
          <w:szCs w:val="32"/>
          <w:highlight w:val="none"/>
          <w:lang w:val="en-US" w:eastAsia="zh-CN" w:bidi="ar"/>
        </w:rPr>
        <w:t>（豫政办〔2026〕24号）</w:t>
      </w:r>
      <w:r>
        <w:rPr>
          <w:rFonts w:hint="eastAsia" w:ascii="仿宋_GB2312" w:hAnsi="仿宋_GB2312" w:eastAsia="仿宋_GB2312" w:cs="仿宋_GB2312"/>
          <w:b w:val="0"/>
          <w:bCs w:val="0"/>
          <w:color w:val="auto"/>
          <w:kern w:val="0"/>
          <w:sz w:val="32"/>
          <w:szCs w:val="32"/>
          <w:highlight w:val="none"/>
          <w:u w:val="none"/>
          <w:lang w:val="en-US" w:eastAsia="zh-CN" w:bidi="ar"/>
        </w:rPr>
        <w:t>等规定，结合我市实际，制定本办法。</w:t>
      </w:r>
    </w:p>
    <w:p w14:paraId="748FEF23">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u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楷体_GB2312" w:cs="Times New Roman"/>
          <w:b w:val="0"/>
          <w:bCs w:val="0"/>
          <w:color w:val="auto"/>
          <w:kern w:val="0"/>
          <w:sz w:val="32"/>
          <w:szCs w:val="32"/>
          <w:highlight w:val="none"/>
          <w:u w:val="none"/>
          <w:lang w:val="en-US" w:eastAsia="zh-CN" w:bidi="ar"/>
        </w:rPr>
        <w:t xml:space="preserve"> </w:t>
      </w:r>
      <w:r>
        <w:rPr>
          <w:rFonts w:hint="default" w:ascii="Times New Roman" w:hAnsi="Times New Roman" w:eastAsia="仿宋_GB2312" w:cs="Times New Roman"/>
          <w:b w:val="0"/>
          <w:bCs w:val="0"/>
          <w:color w:val="auto"/>
          <w:sz w:val="32"/>
          <w:szCs w:val="32"/>
          <w:u w:val="none"/>
          <w:lang w:val="en-US" w:eastAsia="zh-CN"/>
        </w:rPr>
        <w:t>长期</w:t>
      </w:r>
      <w:r>
        <w:rPr>
          <w:rFonts w:hint="default" w:ascii="Times New Roman" w:hAnsi="Times New Roman" w:eastAsia="仿宋_GB2312" w:cs="Times New Roman"/>
          <w:b w:val="0"/>
          <w:bCs w:val="0"/>
          <w:color w:val="auto"/>
          <w:sz w:val="32"/>
          <w:szCs w:val="32"/>
          <w:lang w:val="en-US" w:eastAsia="zh-CN"/>
        </w:rPr>
        <w:t>护理保险</w:t>
      </w:r>
      <w:r>
        <w:rPr>
          <w:rFonts w:hint="eastAsia" w:ascii="仿宋_GB2312" w:hAnsi="仿宋_GB2312" w:eastAsia="仿宋_GB2312" w:cs="仿宋_GB2312"/>
          <w:b w:val="0"/>
          <w:bCs w:val="0"/>
          <w:color w:val="auto"/>
          <w:sz w:val="32"/>
          <w:szCs w:val="32"/>
          <w:u w:val="none"/>
        </w:rPr>
        <w:t>制度是为失能人员的基本生活照料和与之密切相关的医疗护理提供服务或资金保障的社会保险制度，</w:t>
      </w:r>
      <w:r>
        <w:rPr>
          <w:rFonts w:hint="eastAsia" w:ascii="仿宋_GB2312" w:hAnsi="仿宋_GB2312" w:eastAsia="仿宋_GB2312" w:cs="仿宋_GB2312"/>
          <w:b w:val="0"/>
          <w:bCs w:val="0"/>
          <w:color w:val="auto"/>
          <w:sz w:val="32"/>
          <w:szCs w:val="32"/>
        </w:rPr>
        <w:t>是我国社会保障体系的重要组成部分，是实施积极应对人口老龄化国家战略的重要内容。</w:t>
      </w:r>
    </w:p>
    <w:p w14:paraId="476ED8D5">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2"/>
          <w:sz w:val="32"/>
          <w:szCs w:val="32"/>
          <w:u w:val="none"/>
          <w:lang w:val="en-US" w:eastAsia="zh-CN" w:bidi="ar-SA"/>
        </w:rPr>
      </w:pPr>
      <w:r>
        <w:rPr>
          <w:rFonts w:hint="default" w:ascii="黑体" w:hAnsi="黑体" w:eastAsia="黑体" w:cs="黑体"/>
          <w:b w:val="0"/>
          <w:bCs w:val="0"/>
          <w:color w:val="auto"/>
          <w:kern w:val="0"/>
          <w:sz w:val="32"/>
          <w:szCs w:val="32"/>
          <w:highlight w:val="none"/>
          <w:lang w:val="en-US" w:eastAsia="zh-CN" w:bidi="ar"/>
        </w:rPr>
        <w:t>第三条</w:t>
      </w:r>
      <w:r>
        <w:rPr>
          <w:rFonts w:hint="default"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2"/>
          <w:sz w:val="32"/>
          <w:szCs w:val="32"/>
          <w:u w:val="none"/>
          <w:lang w:val="en-US" w:eastAsia="zh-CN" w:bidi="ar-SA"/>
        </w:rPr>
        <w:t>长期护理保险制度遵循“</w:t>
      </w:r>
      <w:r>
        <w:rPr>
          <w:rFonts w:hint="default" w:ascii="仿宋_GB2312" w:hAnsi="仿宋_GB2312" w:eastAsia="仿宋_GB2312" w:cs="仿宋_GB2312"/>
          <w:b w:val="0"/>
          <w:bCs w:val="0"/>
          <w:color w:val="auto"/>
          <w:kern w:val="2"/>
          <w:sz w:val="32"/>
          <w:szCs w:val="32"/>
          <w:u w:val="none"/>
          <w:lang w:val="en-US" w:eastAsia="zh-CN" w:bidi="ar-SA"/>
        </w:rPr>
        <w:t>公平适度、保障基本</w:t>
      </w:r>
      <w:r>
        <w:rPr>
          <w:rFonts w:hint="eastAsia" w:ascii="仿宋_GB2312" w:hAnsi="仿宋_GB2312" w:eastAsia="仿宋_GB2312" w:cs="仿宋_GB2312"/>
          <w:b w:val="0"/>
          <w:bCs w:val="0"/>
          <w:color w:val="auto"/>
          <w:kern w:val="2"/>
          <w:sz w:val="32"/>
          <w:szCs w:val="32"/>
          <w:u w:val="none"/>
          <w:lang w:val="en-US" w:eastAsia="zh-CN" w:bidi="ar-SA"/>
        </w:rPr>
        <w:t>、统筹有序”原则，贯彻“覆盖全民、统筹城乡、公平统一、安全规范、可持续”的总要求。</w:t>
      </w:r>
    </w:p>
    <w:p w14:paraId="4CAD14CA">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第四条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2"/>
          <w:sz w:val="32"/>
          <w:szCs w:val="32"/>
          <w:u w:val="none"/>
          <w:lang w:val="en-US" w:eastAsia="zh-CN" w:bidi="ar-SA"/>
        </w:rPr>
        <w:t>建立与我市经济发展水平相适应、与各方负担能力相匹配、与可持续要求相协调的多元筹资机制。用</w:t>
      </w:r>
      <w:r>
        <w:rPr>
          <w:rFonts w:hint="eastAsia" w:ascii="Times New Roman" w:hAnsi="Times New Roman" w:eastAsia="仿宋_GB2312" w:cs="Times New Roman"/>
          <w:b w:val="0"/>
          <w:bCs w:val="0"/>
          <w:color w:val="auto"/>
          <w:kern w:val="0"/>
          <w:sz w:val="32"/>
          <w:szCs w:val="32"/>
          <w:highlight w:val="none"/>
          <w:lang w:val="en-US" w:eastAsia="zh-CN" w:bidi="ar"/>
        </w:rPr>
        <w:t>人单位（包括</w:t>
      </w:r>
      <w:r>
        <w:rPr>
          <w:rFonts w:hint="default" w:ascii="Times New Roman" w:hAnsi="Times New Roman" w:eastAsia="仿宋_GB2312" w:cs="Times New Roman"/>
          <w:b w:val="0"/>
          <w:bCs w:val="0"/>
          <w:color w:val="auto"/>
          <w:kern w:val="0"/>
          <w:sz w:val="32"/>
          <w:szCs w:val="32"/>
          <w:highlight w:val="none"/>
          <w:lang w:val="en-US" w:eastAsia="zh-CN" w:bidi="ar"/>
        </w:rPr>
        <w:t>企业、事业单位、机关、社会组织</w:t>
      </w:r>
      <w:r>
        <w:rPr>
          <w:rFonts w:hint="eastAsia" w:ascii="Times New Roman" w:hAnsi="Times New Roman" w:eastAsia="仿宋_GB2312" w:cs="Times New Roman"/>
          <w:b w:val="0"/>
          <w:bCs w:val="0"/>
          <w:color w:val="auto"/>
          <w:kern w:val="0"/>
          <w:sz w:val="32"/>
          <w:szCs w:val="32"/>
          <w:highlight w:val="none"/>
          <w:lang w:val="en-US" w:eastAsia="zh-CN" w:bidi="ar"/>
        </w:rPr>
        <w:t>）</w:t>
      </w:r>
      <w:r>
        <w:rPr>
          <w:rFonts w:hint="default" w:ascii="Times New Roman" w:hAnsi="Times New Roman" w:eastAsia="仿宋_GB2312" w:cs="Times New Roman"/>
          <w:b w:val="0"/>
          <w:bCs w:val="0"/>
          <w:color w:val="auto"/>
          <w:kern w:val="0"/>
          <w:sz w:val="32"/>
          <w:szCs w:val="32"/>
          <w:highlight w:val="none"/>
          <w:lang w:val="en-US" w:eastAsia="zh-CN" w:bidi="ar"/>
        </w:rPr>
        <w:t>以及单位职工、退休</w:t>
      </w:r>
      <w:r>
        <w:rPr>
          <w:rFonts w:hint="eastAsia" w:ascii="Times New Roman" w:hAnsi="Times New Roman" w:eastAsia="仿宋_GB2312" w:cs="Times New Roman"/>
          <w:b w:val="0"/>
          <w:bCs w:val="0"/>
          <w:color w:val="auto"/>
          <w:kern w:val="0"/>
          <w:sz w:val="32"/>
          <w:szCs w:val="32"/>
          <w:highlight w:val="none"/>
          <w:lang w:val="en-US" w:eastAsia="zh-CN" w:bidi="ar"/>
        </w:rPr>
        <w:t>人员</w:t>
      </w:r>
      <w:r>
        <w:rPr>
          <w:rFonts w:hint="default" w:ascii="Times New Roman" w:hAnsi="Times New Roman" w:eastAsia="仿宋_GB2312" w:cs="Times New Roman"/>
          <w:b w:val="0"/>
          <w:bCs w:val="0"/>
          <w:color w:val="auto"/>
          <w:kern w:val="0"/>
          <w:sz w:val="32"/>
          <w:szCs w:val="32"/>
          <w:highlight w:val="none"/>
          <w:lang w:val="en-US" w:eastAsia="zh-CN" w:bidi="ar"/>
        </w:rPr>
        <w:t>、灵活就业人员和未就业城乡居民等按照属地管理原则</w:t>
      </w:r>
      <w:r>
        <w:rPr>
          <w:rFonts w:hint="eastAsia" w:ascii="Times New Roman" w:hAnsi="Times New Roman" w:eastAsia="仿宋_GB2312" w:cs="Times New Roman"/>
          <w:b w:val="0"/>
          <w:bCs w:val="0"/>
          <w:color w:val="auto"/>
          <w:kern w:val="0"/>
          <w:sz w:val="32"/>
          <w:szCs w:val="32"/>
          <w:highlight w:val="none"/>
          <w:lang w:val="en-US" w:eastAsia="zh-CN" w:bidi="ar"/>
        </w:rPr>
        <w:t>，</w:t>
      </w:r>
      <w:r>
        <w:rPr>
          <w:rFonts w:hint="default" w:ascii="Times New Roman" w:hAnsi="Times New Roman" w:eastAsia="仿宋_GB2312" w:cs="Times New Roman"/>
          <w:b w:val="0"/>
          <w:bCs w:val="0"/>
          <w:color w:val="auto"/>
          <w:kern w:val="0"/>
          <w:sz w:val="32"/>
          <w:szCs w:val="32"/>
          <w:highlight w:val="none"/>
          <w:lang w:val="en-US" w:eastAsia="zh-CN" w:bidi="ar"/>
        </w:rPr>
        <w:t>参加</w:t>
      </w:r>
      <w:r>
        <w:rPr>
          <w:rFonts w:hint="default" w:ascii="Times New Roman" w:hAnsi="Times New Roman" w:eastAsia="仿宋_GB2312" w:cs="Times New Roman"/>
          <w:b w:val="0"/>
          <w:bCs w:val="0"/>
          <w:color w:val="auto"/>
          <w:sz w:val="32"/>
          <w:szCs w:val="32"/>
          <w:lang w:val="en-US" w:eastAsia="zh-CN"/>
        </w:rPr>
        <w:t>长期护理保险</w:t>
      </w:r>
      <w:r>
        <w:rPr>
          <w:rFonts w:hint="eastAsia" w:ascii="Times New Roman" w:hAnsi="Times New Roman" w:eastAsia="仿宋_GB2312" w:cs="Times New Roman"/>
          <w:b w:val="0"/>
          <w:bCs w:val="0"/>
          <w:color w:val="auto"/>
          <w:sz w:val="32"/>
          <w:szCs w:val="32"/>
          <w:lang w:val="en-US" w:eastAsia="zh-CN"/>
        </w:rPr>
        <w:t>。</w:t>
      </w:r>
    </w:p>
    <w:p w14:paraId="2DBC175A">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第五条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default" w:ascii="Times New Roman" w:hAnsi="Times New Roman" w:eastAsia="仿宋_GB2312" w:cs="Times New Roman"/>
          <w:b w:val="0"/>
          <w:bCs w:val="0"/>
          <w:color w:val="auto"/>
          <w:sz w:val="32"/>
          <w:szCs w:val="32"/>
          <w:lang w:val="en-US" w:eastAsia="zh-CN"/>
        </w:rPr>
        <w:t>长期护理保险</w:t>
      </w:r>
      <w:r>
        <w:rPr>
          <w:rFonts w:hint="default" w:ascii="Times New Roman" w:hAnsi="Times New Roman" w:eastAsia="仿宋_GB2312" w:cs="Times New Roman"/>
          <w:b w:val="0"/>
          <w:bCs w:val="0"/>
          <w:color w:val="auto"/>
          <w:kern w:val="0"/>
          <w:sz w:val="32"/>
          <w:szCs w:val="32"/>
          <w:highlight w:val="none"/>
          <w:lang w:val="en-US" w:eastAsia="zh-CN" w:bidi="ar"/>
        </w:rPr>
        <w:t>为独立险种，建立就业人员和未就业人员共同的长期护理保险基金（以下简称基金）账户，资金统筹使用。依据缴费标准不同，待遇标准</w:t>
      </w:r>
      <w:r>
        <w:rPr>
          <w:rFonts w:hint="eastAsia" w:ascii="Times New Roman" w:hAnsi="Times New Roman" w:eastAsia="仿宋_GB2312" w:cs="Times New Roman"/>
          <w:b w:val="0"/>
          <w:bCs w:val="0"/>
          <w:color w:val="auto"/>
          <w:kern w:val="0"/>
          <w:sz w:val="32"/>
          <w:szCs w:val="32"/>
          <w:highlight w:val="none"/>
          <w:lang w:val="en-US" w:eastAsia="zh-CN" w:bidi="ar"/>
        </w:rPr>
        <w:t>按照</w:t>
      </w:r>
      <w:r>
        <w:rPr>
          <w:rFonts w:hint="default" w:ascii="Times New Roman" w:hAnsi="Times New Roman" w:eastAsia="仿宋_GB2312" w:cs="Times New Roman"/>
          <w:b w:val="0"/>
          <w:bCs w:val="0"/>
          <w:color w:val="auto"/>
          <w:kern w:val="0"/>
          <w:sz w:val="32"/>
          <w:szCs w:val="32"/>
          <w:highlight w:val="none"/>
          <w:lang w:val="en-US" w:eastAsia="zh-CN" w:bidi="ar"/>
        </w:rPr>
        <w:t>就业人员和非就业人员两类设置。</w:t>
      </w:r>
    </w:p>
    <w:p w14:paraId="56921CAE">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u w:val="none"/>
          <w:lang w:val="en-US" w:eastAsia="zh-CN" w:bidi="ar"/>
        </w:rPr>
      </w:pPr>
      <w:r>
        <w:rPr>
          <w:rFonts w:hint="eastAsia" w:ascii="黑体" w:hAnsi="黑体" w:eastAsia="黑体" w:cs="黑体"/>
          <w:b w:val="0"/>
          <w:bCs w:val="0"/>
          <w:color w:val="auto"/>
          <w:kern w:val="0"/>
          <w:sz w:val="32"/>
          <w:szCs w:val="32"/>
          <w:highlight w:val="none"/>
          <w:lang w:val="en-US" w:eastAsia="zh-CN" w:bidi="ar"/>
        </w:rPr>
        <w:t>第六条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default" w:ascii="Times New Roman" w:hAnsi="Times New Roman" w:eastAsia="仿宋_GB2312" w:cs="Times New Roman"/>
          <w:b w:val="0"/>
          <w:bCs w:val="0"/>
          <w:color w:val="auto"/>
          <w:sz w:val="32"/>
          <w:szCs w:val="32"/>
          <w:lang w:val="en-US" w:eastAsia="zh-CN"/>
        </w:rPr>
        <w:t>长期护理保险</w:t>
      </w:r>
      <w:r>
        <w:rPr>
          <w:rFonts w:hint="eastAsia" w:ascii="Times New Roman" w:hAnsi="Times New Roman" w:eastAsia="仿宋_GB2312" w:cs="Times New Roman"/>
          <w:b w:val="0"/>
          <w:bCs w:val="0"/>
          <w:color w:val="auto"/>
          <w:sz w:val="32"/>
          <w:szCs w:val="32"/>
          <w:lang w:val="en-US" w:eastAsia="zh-CN"/>
        </w:rPr>
        <w:t>实行</w:t>
      </w:r>
      <w:r>
        <w:rPr>
          <w:rFonts w:hint="default" w:ascii="Times New Roman" w:hAnsi="Times New Roman" w:eastAsia="仿宋_GB2312" w:cs="Times New Roman"/>
          <w:b w:val="0"/>
          <w:bCs w:val="0"/>
          <w:color w:val="auto"/>
          <w:kern w:val="0"/>
          <w:sz w:val="32"/>
          <w:szCs w:val="32"/>
          <w:highlight w:val="none"/>
          <w:lang w:val="en-US" w:eastAsia="zh-CN" w:bidi="ar"/>
        </w:rPr>
        <w:t>市级统筹。</w:t>
      </w:r>
      <w:r>
        <w:rPr>
          <w:rFonts w:hint="eastAsia" w:ascii="Times New Roman" w:hAnsi="Times New Roman" w:eastAsia="仿宋_GB2312" w:cs="Times New Roman"/>
          <w:b w:val="0"/>
          <w:bCs w:val="0"/>
          <w:color w:val="auto"/>
          <w:kern w:val="0"/>
          <w:sz w:val="32"/>
          <w:szCs w:val="32"/>
          <w:highlight w:val="none"/>
          <w:lang w:val="en-US" w:eastAsia="zh-CN" w:bidi="ar"/>
        </w:rPr>
        <w:t>全市</w:t>
      </w:r>
      <w:r>
        <w:rPr>
          <w:rFonts w:hint="default" w:ascii="Times New Roman" w:hAnsi="Times New Roman" w:eastAsia="仿宋_GB2312" w:cs="Times New Roman"/>
          <w:b w:val="0"/>
          <w:bCs w:val="0"/>
          <w:color w:val="auto"/>
          <w:kern w:val="0"/>
          <w:sz w:val="32"/>
          <w:szCs w:val="32"/>
          <w:highlight w:val="none"/>
          <w:lang w:val="en-US" w:eastAsia="zh-CN" w:bidi="ar"/>
        </w:rPr>
        <w:t>范围内制度政策统一、基金统收统支、管理服务一体。</w:t>
      </w:r>
    </w:p>
    <w:p w14:paraId="6586E4D5">
      <w:pPr>
        <w:keepNext w:val="0"/>
        <w:keepLines w:val="0"/>
        <w:pageBreakBefore w:val="0"/>
        <w:widowControl w:val="0"/>
        <w:kinsoku/>
        <w:wordWrap/>
        <w:overflowPunct/>
        <w:topLinePunct/>
        <w:autoSpaceDE w:val="0"/>
        <w:autoSpaceDN/>
        <w:bidi w:val="0"/>
        <w:adjustRightInd/>
        <w:snapToGrid/>
        <w:spacing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第七条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sz w:val="32"/>
          <w:szCs w:val="32"/>
          <w:lang w:val="en-US" w:eastAsia="zh-CN"/>
        </w:rPr>
        <w:t>长期护理保险</w:t>
      </w:r>
      <w:r>
        <w:rPr>
          <w:rFonts w:hint="eastAsia" w:ascii="仿宋_GB2312" w:hAnsi="仿宋_GB2312" w:eastAsia="仿宋_GB2312" w:cs="仿宋_GB2312"/>
          <w:b w:val="0"/>
          <w:bCs w:val="0"/>
          <w:color w:val="auto"/>
          <w:kern w:val="0"/>
          <w:sz w:val="32"/>
          <w:szCs w:val="32"/>
          <w:highlight w:val="none"/>
          <w:lang w:val="en-US" w:eastAsia="zh-CN" w:bidi="ar"/>
        </w:rPr>
        <w:t>先从覆盖单位职工、</w:t>
      </w:r>
      <w:r>
        <w:rPr>
          <w:rFonts w:hint="eastAsia" w:ascii="Times New Roman" w:hAnsi="Times New Roman" w:eastAsia="仿宋_GB2312" w:cs="Times New Roman"/>
          <w:b w:val="0"/>
          <w:bCs w:val="0"/>
          <w:color w:val="auto"/>
          <w:sz w:val="32"/>
          <w:szCs w:val="32"/>
          <w:lang w:eastAsia="zh-CN"/>
        </w:rPr>
        <w:t>退休人员</w:t>
      </w:r>
      <w:r>
        <w:rPr>
          <w:rFonts w:hint="eastAsia" w:ascii="仿宋_GB2312" w:hAnsi="仿宋_GB2312" w:eastAsia="仿宋_GB2312" w:cs="仿宋_GB2312"/>
          <w:b w:val="0"/>
          <w:bCs w:val="0"/>
          <w:color w:val="auto"/>
          <w:kern w:val="0"/>
          <w:sz w:val="32"/>
          <w:szCs w:val="32"/>
          <w:highlight w:val="none"/>
          <w:lang w:val="en-US" w:eastAsia="zh-CN" w:bidi="ar"/>
        </w:rPr>
        <w:t>、灵活就业人员等人群起步，逐步将未就业城乡居民纳入保障范围。2026年底前，启动实施就业人员长期护理保险制度。2028年，将未就业城乡居民纳入长期护理保险制度范围，实现制度全覆盖</w:t>
      </w:r>
      <w:r>
        <w:rPr>
          <w:rFonts w:hint="eastAsia" w:ascii="Times New Roman" w:hAnsi="Times New Roman" w:eastAsia="仿宋_GB2312" w:cs="Times New Roman"/>
          <w:b w:val="0"/>
          <w:bCs w:val="0"/>
          <w:color w:val="auto"/>
          <w:kern w:val="0"/>
          <w:sz w:val="32"/>
          <w:szCs w:val="32"/>
          <w:highlight w:val="none"/>
          <w:lang w:val="en-US" w:eastAsia="zh-CN" w:bidi="ar"/>
        </w:rPr>
        <w:t>。</w:t>
      </w:r>
    </w:p>
    <w:p w14:paraId="02152F54">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default"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 xml:space="preserve">第八条 </w:t>
      </w:r>
      <w:r>
        <w:rPr>
          <w:rFonts w:hint="eastAsia" w:ascii="仿宋_GB2312" w:hAnsi="仿宋_GB2312" w:eastAsia="仿宋_GB2312" w:cs="仿宋_GB2312"/>
          <w:b w:val="0"/>
          <w:bCs w:val="0"/>
          <w:color w:val="auto"/>
          <w:kern w:val="0"/>
          <w:sz w:val="32"/>
          <w:szCs w:val="32"/>
          <w:highlight w:val="none"/>
          <w:lang w:val="en-US" w:eastAsia="zh-CN" w:bidi="ar"/>
        </w:rPr>
        <w:t>发挥长期护理保险产业带动和就业促进作用，推动长期护理保险相关产业发展，探索建立长期护理保险产业园。</w:t>
      </w:r>
    </w:p>
    <w:p w14:paraId="73A1D7C9">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九</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2"/>
          <w:sz w:val="32"/>
          <w:szCs w:val="32"/>
          <w:lang w:val="en-US" w:eastAsia="zh-CN" w:bidi="ar-SA"/>
        </w:rPr>
        <w:t>各级政府负责对</w:t>
      </w:r>
      <w:r>
        <w:rPr>
          <w:rFonts w:hint="eastAsia" w:ascii="仿宋_GB2312" w:hAnsi="仿宋_GB2312" w:eastAsia="仿宋_GB2312" w:cs="仿宋_GB2312"/>
          <w:b w:val="0"/>
          <w:bCs w:val="0"/>
          <w:color w:val="auto"/>
          <w:kern w:val="0"/>
          <w:sz w:val="32"/>
          <w:szCs w:val="32"/>
          <w:highlight w:val="none"/>
          <w:lang w:val="en-US" w:eastAsia="zh-CN" w:bidi="ar"/>
        </w:rPr>
        <w:t>长期护理保险</w:t>
      </w:r>
      <w:r>
        <w:rPr>
          <w:rFonts w:hint="eastAsia" w:ascii="Times New Roman" w:hAnsi="Times New Roman" w:eastAsia="仿宋_GB2312" w:cs="Times New Roman"/>
          <w:b w:val="0"/>
          <w:bCs w:val="0"/>
          <w:color w:val="auto"/>
          <w:kern w:val="2"/>
          <w:sz w:val="32"/>
          <w:szCs w:val="32"/>
          <w:lang w:val="en-US" w:eastAsia="zh-CN" w:bidi="ar-SA"/>
        </w:rPr>
        <w:t>工作的组织领导。</w:t>
      </w:r>
      <w:r>
        <w:rPr>
          <w:rFonts w:hint="default" w:ascii="Times New Roman" w:hAnsi="Times New Roman" w:eastAsia="仿宋_GB2312" w:cs="Times New Roman"/>
          <w:b w:val="0"/>
          <w:bCs w:val="0"/>
          <w:color w:val="auto"/>
          <w:sz w:val="32"/>
          <w:szCs w:val="32"/>
        </w:rPr>
        <w:t>医疗保障部门负责长期护理保险政策</w:t>
      </w:r>
      <w:r>
        <w:rPr>
          <w:rFonts w:hint="eastAsia" w:ascii="Times New Roman" w:hAnsi="Times New Roman" w:eastAsia="仿宋_GB2312" w:cs="Times New Roman"/>
          <w:b w:val="0"/>
          <w:bCs w:val="0"/>
          <w:color w:val="auto"/>
          <w:sz w:val="32"/>
          <w:szCs w:val="32"/>
          <w:lang w:eastAsia="zh-CN"/>
        </w:rPr>
        <w:t>制定和</w:t>
      </w:r>
      <w:r>
        <w:rPr>
          <w:rFonts w:hint="default" w:ascii="Times New Roman" w:hAnsi="Times New Roman" w:eastAsia="仿宋_GB2312" w:cs="Times New Roman"/>
          <w:b w:val="0"/>
          <w:bCs w:val="0"/>
          <w:color w:val="auto"/>
          <w:sz w:val="32"/>
          <w:szCs w:val="32"/>
        </w:rPr>
        <w:t>组织实施</w:t>
      </w:r>
      <w:r>
        <w:rPr>
          <w:rFonts w:hint="eastAsia" w:ascii="Times New Roman" w:hAnsi="Times New Roman" w:eastAsia="仿宋_GB2312" w:cs="Times New Roman"/>
          <w:b w:val="0"/>
          <w:bCs w:val="0"/>
          <w:color w:val="auto"/>
          <w:sz w:val="32"/>
          <w:szCs w:val="32"/>
          <w:lang w:eastAsia="zh-CN"/>
        </w:rPr>
        <w:t>。财政部门负责</w:t>
      </w:r>
      <w:r>
        <w:rPr>
          <w:rFonts w:hint="eastAsia" w:ascii="Times New Roman" w:hAnsi="Times New Roman" w:eastAsia="仿宋_GB2312" w:cs="Times New Roman"/>
          <w:b w:val="0"/>
          <w:bCs w:val="0"/>
          <w:color w:val="auto"/>
          <w:sz w:val="32"/>
          <w:szCs w:val="32"/>
          <w:lang w:val="en-US" w:eastAsia="zh-CN"/>
        </w:rPr>
        <w:t>及时足额安排相关财政补助资金、配合</w:t>
      </w:r>
      <w:r>
        <w:rPr>
          <w:rFonts w:hint="default" w:ascii="Times New Roman" w:hAnsi="Times New Roman" w:eastAsia="仿宋_GB2312" w:cs="Times New Roman"/>
          <w:b w:val="0"/>
          <w:bCs w:val="0"/>
          <w:color w:val="auto"/>
          <w:sz w:val="32"/>
          <w:szCs w:val="32"/>
        </w:rPr>
        <w:t>医疗</w:t>
      </w:r>
      <w:r>
        <w:rPr>
          <w:rFonts w:hint="eastAsia" w:ascii="Times New Roman" w:hAnsi="Times New Roman" w:eastAsia="仿宋_GB2312" w:cs="Times New Roman"/>
          <w:b w:val="0"/>
          <w:bCs w:val="0"/>
          <w:color w:val="auto"/>
          <w:sz w:val="32"/>
          <w:szCs w:val="32"/>
          <w:lang w:val="en-US" w:eastAsia="zh-CN"/>
        </w:rPr>
        <w:t>部门做好基金测算等</w:t>
      </w:r>
      <w:r>
        <w:rPr>
          <w:rFonts w:hint="eastAsia" w:ascii="Times New Roman" w:hAnsi="Times New Roman" w:eastAsia="仿宋_GB2312" w:cs="Times New Roman"/>
          <w:b w:val="0"/>
          <w:bCs w:val="0"/>
          <w:color w:val="auto"/>
          <w:sz w:val="32"/>
          <w:szCs w:val="32"/>
          <w:lang w:eastAsia="zh-CN"/>
        </w:rPr>
        <w:t>。税务部门负责保费征收工作。民政部门负责对提供长期护理服务的养老服务机构进行行业管理，统筹配置养老服务资源。人力资源社会保障部门负责</w:t>
      </w:r>
      <w:r>
        <w:rPr>
          <w:rFonts w:hint="eastAsia" w:ascii="Times New Roman" w:hAnsi="Times New Roman" w:eastAsia="仿宋_GB2312" w:cs="Times New Roman"/>
          <w:b w:val="0"/>
          <w:bCs w:val="0"/>
          <w:color w:val="auto"/>
          <w:sz w:val="32"/>
          <w:szCs w:val="32"/>
          <w:lang w:val="en-US" w:eastAsia="zh-CN"/>
        </w:rPr>
        <w:t>配合做好</w:t>
      </w:r>
      <w:r>
        <w:rPr>
          <w:rFonts w:hint="eastAsia" w:ascii="Times New Roman" w:hAnsi="Times New Roman" w:eastAsia="仿宋_GB2312" w:cs="Times New Roman"/>
          <w:b w:val="0"/>
          <w:bCs w:val="0"/>
          <w:color w:val="auto"/>
          <w:sz w:val="32"/>
          <w:szCs w:val="32"/>
          <w:lang w:eastAsia="zh-CN"/>
        </w:rPr>
        <w:t>长期护理保险与工伤保险衔接、长期照护师职业技能等级认定、退休人员基本养老金数据共享和保费代扣代缴等工作。卫生健康部门负责鼓励基层医疗卫生机构提供长期护理服务、探索发挥家庭医生在失能等级评估中的作用等工作。农业农村部门负责</w:t>
      </w:r>
      <w:r>
        <w:rPr>
          <w:rFonts w:hint="eastAsia" w:ascii="Times New Roman" w:hAnsi="Times New Roman" w:eastAsia="仿宋_GB2312" w:cs="Times New Roman"/>
          <w:b w:val="0"/>
          <w:bCs w:val="0"/>
          <w:color w:val="auto"/>
          <w:sz w:val="32"/>
          <w:szCs w:val="32"/>
          <w:lang w:val="en-US" w:eastAsia="zh-CN"/>
        </w:rPr>
        <w:t>做好</w:t>
      </w:r>
      <w:r>
        <w:rPr>
          <w:rFonts w:hint="eastAsia" w:ascii="Times New Roman" w:hAnsi="Times New Roman" w:eastAsia="仿宋_GB2312" w:cs="Times New Roman"/>
          <w:b w:val="0"/>
          <w:bCs w:val="0"/>
          <w:color w:val="auto"/>
          <w:sz w:val="32"/>
          <w:szCs w:val="32"/>
          <w:lang w:eastAsia="zh-CN"/>
        </w:rPr>
        <w:t>防止返贫致贫对象认定和帮扶工作。残联负责协同做好残疾人参保相关工作。</w:t>
      </w:r>
    </w:p>
    <w:p w14:paraId="285644D8">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default"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第二章 筹资机制</w:t>
      </w:r>
    </w:p>
    <w:p w14:paraId="3267E24B">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第十条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0"/>
          <w:sz w:val="32"/>
          <w:szCs w:val="32"/>
          <w:highlight w:val="none"/>
          <w:lang w:val="en-US" w:eastAsia="zh-CN" w:bidi="ar"/>
        </w:rPr>
        <w:t>建立健全单位、个人、政府、社会等多元筹资渠道。</w:t>
      </w:r>
    </w:p>
    <w:p w14:paraId="2CEED6B6">
      <w:pPr>
        <w:keepNext w:val="0"/>
        <w:keepLines w:val="0"/>
        <w:pageBreakBefore w:val="0"/>
        <w:widowControl w:val="0"/>
        <w:kinsoku/>
        <w:wordWrap/>
        <w:overflowPunct/>
        <w:topLinePunct/>
        <w:autoSpaceDE w:val="0"/>
        <w:autoSpaceDN/>
        <w:bidi w:val="0"/>
        <w:adjustRightInd/>
        <w:snapToGrid/>
        <w:spacing w:line="600" w:lineRule="exact"/>
        <w:ind w:left="0" w:leftChars="0"/>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default" w:ascii="Times New Roman" w:hAnsi="Times New Roman" w:eastAsia="仿宋_GB2312" w:cs="Times New Roman"/>
          <w:b w:val="0"/>
          <w:bCs w:val="0"/>
          <w:color w:val="auto"/>
          <w:kern w:val="0"/>
          <w:sz w:val="32"/>
          <w:szCs w:val="32"/>
          <w:highlight w:val="none"/>
          <w:lang w:val="en-US" w:eastAsia="zh-CN" w:bidi="ar"/>
        </w:rPr>
        <w:t>用人单位以及单位职工、</w:t>
      </w:r>
      <w:r>
        <w:rPr>
          <w:rFonts w:hint="eastAsia" w:ascii="Times New Roman" w:hAnsi="Times New Roman" w:eastAsia="仿宋_GB2312" w:cs="Times New Roman"/>
          <w:b w:val="0"/>
          <w:bCs w:val="0"/>
          <w:color w:val="auto"/>
          <w:sz w:val="32"/>
          <w:szCs w:val="32"/>
          <w:lang w:eastAsia="zh-CN"/>
        </w:rPr>
        <w:t>退休人员</w:t>
      </w:r>
      <w:r>
        <w:rPr>
          <w:rFonts w:hint="default" w:ascii="Times New Roman" w:hAnsi="Times New Roman" w:eastAsia="仿宋_GB2312" w:cs="Times New Roman"/>
          <w:b w:val="0"/>
          <w:bCs w:val="0"/>
          <w:color w:val="auto"/>
          <w:kern w:val="0"/>
          <w:sz w:val="32"/>
          <w:szCs w:val="32"/>
          <w:highlight w:val="none"/>
          <w:lang w:val="en-US" w:eastAsia="zh-CN" w:bidi="ar"/>
        </w:rPr>
        <w:t>、灵活就业人员和未就业城乡居民按规定缴费参加长期护理保险，与基本医疗保险费同步缴纳。</w:t>
      </w:r>
    </w:p>
    <w:p w14:paraId="6C54387E">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第十一条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0"/>
          <w:sz w:val="32"/>
          <w:szCs w:val="32"/>
          <w:highlight w:val="none"/>
          <w:lang w:val="en-US" w:eastAsia="zh-CN" w:bidi="ar"/>
        </w:rPr>
        <w:t>单位职工筹资。单位职工</w:t>
      </w:r>
      <w:r>
        <w:rPr>
          <w:rFonts w:hint="default" w:ascii="仿宋_GB2312" w:hAnsi="仿宋_GB2312" w:eastAsia="仿宋_GB2312" w:cs="仿宋_GB2312"/>
          <w:b w:val="0"/>
          <w:bCs w:val="0"/>
          <w:color w:val="auto"/>
          <w:kern w:val="0"/>
          <w:sz w:val="32"/>
          <w:szCs w:val="32"/>
          <w:highlight w:val="none"/>
          <w:lang w:val="en" w:eastAsia="zh-CN" w:bidi="ar"/>
        </w:rPr>
        <w:t>长期护理保险</w:t>
      </w:r>
      <w:r>
        <w:rPr>
          <w:rFonts w:hint="eastAsia" w:ascii="仿宋_GB2312" w:hAnsi="仿宋_GB2312" w:eastAsia="仿宋_GB2312" w:cs="仿宋_GB2312"/>
          <w:b w:val="0"/>
          <w:bCs w:val="0"/>
          <w:color w:val="auto"/>
          <w:kern w:val="0"/>
          <w:sz w:val="32"/>
          <w:szCs w:val="32"/>
          <w:highlight w:val="none"/>
          <w:lang w:val="en-US" w:eastAsia="zh-CN" w:bidi="ar"/>
        </w:rPr>
        <w:t>费率为0.3%，由</w:t>
      </w:r>
      <w:r>
        <w:rPr>
          <w:rFonts w:hint="default" w:ascii="仿宋_GB2312" w:hAnsi="仿宋_GB2312" w:eastAsia="仿宋_GB2312" w:cs="仿宋_GB2312"/>
          <w:b w:val="0"/>
          <w:bCs w:val="0"/>
          <w:color w:val="auto"/>
          <w:kern w:val="0"/>
          <w:sz w:val="32"/>
          <w:szCs w:val="32"/>
          <w:highlight w:val="none"/>
          <w:lang w:val="en" w:eastAsia="zh-CN" w:bidi="ar"/>
        </w:rPr>
        <w:t>用人</w:t>
      </w:r>
      <w:r>
        <w:rPr>
          <w:rFonts w:hint="eastAsia" w:ascii="仿宋_GB2312" w:hAnsi="仿宋_GB2312" w:eastAsia="仿宋_GB2312" w:cs="仿宋_GB2312"/>
          <w:b w:val="0"/>
          <w:bCs w:val="0"/>
          <w:color w:val="auto"/>
          <w:kern w:val="0"/>
          <w:sz w:val="32"/>
          <w:szCs w:val="32"/>
          <w:highlight w:val="none"/>
          <w:lang w:val="en-US" w:eastAsia="zh-CN" w:bidi="ar"/>
        </w:rPr>
        <w:t>单位和个人</w:t>
      </w:r>
      <w:r>
        <w:rPr>
          <w:rFonts w:hint="default" w:ascii="仿宋_GB2312" w:hAnsi="仿宋_GB2312" w:eastAsia="仿宋_GB2312" w:cs="仿宋_GB2312"/>
          <w:b w:val="0"/>
          <w:bCs w:val="0"/>
          <w:color w:val="auto"/>
          <w:kern w:val="0"/>
          <w:sz w:val="32"/>
          <w:szCs w:val="32"/>
          <w:highlight w:val="none"/>
          <w:lang w:val="en" w:eastAsia="zh-CN" w:bidi="ar"/>
        </w:rPr>
        <w:t>按照同比例分担，</w:t>
      </w:r>
      <w:r>
        <w:rPr>
          <w:rFonts w:hint="eastAsia" w:ascii="仿宋_GB2312" w:hAnsi="仿宋_GB2312" w:eastAsia="仿宋_GB2312" w:cs="仿宋_GB2312"/>
          <w:b w:val="0"/>
          <w:bCs w:val="0"/>
          <w:color w:val="auto"/>
          <w:kern w:val="0"/>
          <w:sz w:val="32"/>
          <w:szCs w:val="32"/>
          <w:highlight w:val="none"/>
          <w:lang w:val="en-US" w:eastAsia="zh-CN" w:bidi="ar"/>
        </w:rPr>
        <w:t>各</w:t>
      </w:r>
      <w:r>
        <w:rPr>
          <w:rFonts w:hint="default" w:ascii="仿宋_GB2312" w:hAnsi="仿宋_GB2312" w:eastAsia="仿宋_GB2312" w:cs="仿宋_GB2312"/>
          <w:b w:val="0"/>
          <w:bCs w:val="0"/>
          <w:color w:val="auto"/>
          <w:kern w:val="0"/>
          <w:sz w:val="32"/>
          <w:szCs w:val="32"/>
          <w:highlight w:val="none"/>
          <w:lang w:val="en" w:eastAsia="zh-CN" w:bidi="ar"/>
        </w:rPr>
        <w:t>为</w:t>
      </w:r>
      <w:r>
        <w:rPr>
          <w:rFonts w:hint="eastAsia" w:ascii="仿宋_GB2312" w:hAnsi="仿宋_GB2312" w:eastAsia="仿宋_GB2312" w:cs="仿宋_GB2312"/>
          <w:b w:val="0"/>
          <w:bCs w:val="0"/>
          <w:color w:val="auto"/>
          <w:kern w:val="0"/>
          <w:sz w:val="32"/>
          <w:szCs w:val="32"/>
          <w:highlight w:val="none"/>
          <w:lang w:val="en-US" w:eastAsia="zh-CN" w:bidi="ar"/>
        </w:rPr>
        <w:t>0.15%。单位缴费基数为职工工资总额，个人缴费基数为本人工资收入。</w:t>
      </w:r>
    </w:p>
    <w:p w14:paraId="2D10466A">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将基本医疗保险单位缴费费率调减0.15%，调减部分用于长期护理保险单位缴费；调减后，国家机关和其他财政全额供给单位职工基本医疗保险单位缴费费率为8.25%，其他参保单位职工基本医疗保险单位缴费费率为8.45%；用人单位按照规定的缴费费率在缴纳职工基本医疗保险费时一并向税务部门申报，按时足额缴纳。个人缴费部分从职工基本医疗保险医保个人账户中按月代扣代缴，或者由用人单位代扣代缴。</w:t>
      </w:r>
    </w:p>
    <w:p w14:paraId="5E9005ED">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职工基本医疗保险个人账户可用于本人及近亲属（包括配偶、父母、子女、兄弟姐妹、祖父母、外祖父母、孙子女、外孙子女）参加长期护理保险的个人缴费。</w:t>
      </w:r>
    </w:p>
    <w:p w14:paraId="35548675">
      <w:pPr>
        <w:pStyle w:val="10"/>
        <w:keepNext w:val="0"/>
        <w:keepLines w:val="0"/>
        <w:pageBreakBefore w:val="0"/>
        <w:widowControl w:val="0"/>
        <w:numPr>
          <w:ilvl w:val="0"/>
          <w:numId w:val="0"/>
        </w:numPr>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第十二条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0"/>
          <w:sz w:val="32"/>
          <w:szCs w:val="32"/>
          <w:highlight w:val="none"/>
          <w:lang w:val="en-US" w:eastAsia="zh-CN" w:bidi="ar"/>
        </w:rPr>
        <w:t>退休人员筹资。退休人员由个人缴费，原用人单位不缴费。费率与单位职工个人费率相同，为0.15%，缴费基数为本人基本养老金。保费可由从其职工基本医疗保险个人账户中代扣代缴，也可由发放职工基本养老金的社会保险经办机构代扣代缴。</w:t>
      </w:r>
    </w:p>
    <w:p w14:paraId="3DF12B08">
      <w:pPr>
        <w:pStyle w:val="10"/>
        <w:keepNext w:val="0"/>
        <w:keepLines w:val="0"/>
        <w:pageBreakBefore w:val="0"/>
        <w:widowControl w:val="0"/>
        <w:numPr>
          <w:ilvl w:val="0"/>
          <w:numId w:val="0"/>
        </w:numPr>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关闭破产企业退休人员费率为0.15%，缴费基数为我市上年度社会平均工资，由个人承担。保费可从其职工基本医疗保险个人账户中代扣代缴，也可由发放职工基本养老金的社会保险经办机构代扣代缴。</w:t>
      </w:r>
    </w:p>
    <w:p w14:paraId="1570E742">
      <w:pPr>
        <w:pStyle w:val="10"/>
        <w:keepNext w:val="0"/>
        <w:keepLines w:val="0"/>
        <w:pageBreakBefore w:val="0"/>
        <w:widowControl w:val="0"/>
        <w:numPr>
          <w:ilvl w:val="0"/>
          <w:numId w:val="0"/>
        </w:numPr>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医疗保障、税务等部门探索完善便捷、高效的具体缴费方式。</w:t>
      </w:r>
    </w:p>
    <w:p w14:paraId="042F7C06">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第十三条</w:t>
      </w:r>
      <w:r>
        <w:rPr>
          <w:rFonts w:hint="eastAsia" w:ascii="仿宋_GB2312" w:hAnsi="仿宋_GB2312" w:eastAsia="仿宋_GB2312" w:cs="仿宋_GB2312"/>
          <w:b w:val="0"/>
          <w:bCs w:val="0"/>
          <w:color w:val="auto"/>
          <w:kern w:val="0"/>
          <w:sz w:val="32"/>
          <w:szCs w:val="32"/>
          <w:highlight w:val="none"/>
          <w:lang w:val="en-US" w:eastAsia="zh-CN" w:bidi="ar"/>
        </w:rPr>
        <w:t xml:space="preserve"> </w:t>
      </w:r>
      <w:r>
        <w:rPr>
          <w:rFonts w:hint="default" w:ascii="仿宋_GB2312" w:hAnsi="仿宋_GB2312" w:eastAsia="仿宋_GB2312" w:cs="仿宋_GB2312"/>
          <w:b w:val="0"/>
          <w:bCs w:val="0"/>
          <w:color w:val="auto"/>
          <w:kern w:val="0"/>
          <w:sz w:val="32"/>
          <w:szCs w:val="32"/>
          <w:highlight w:val="none"/>
          <w:lang w:val="en-US" w:eastAsia="zh-CN" w:bidi="ar"/>
        </w:rPr>
        <w:t>灵</w:t>
      </w:r>
      <w:r>
        <w:rPr>
          <w:rFonts w:hint="eastAsia" w:ascii="仿宋_GB2312" w:hAnsi="仿宋_GB2312" w:eastAsia="仿宋_GB2312" w:cs="仿宋_GB2312"/>
          <w:b w:val="0"/>
          <w:bCs w:val="0"/>
          <w:color w:val="auto"/>
          <w:kern w:val="0"/>
          <w:sz w:val="32"/>
          <w:szCs w:val="32"/>
          <w:highlight w:val="none"/>
          <w:lang w:val="en-US" w:eastAsia="zh-CN" w:bidi="ar"/>
        </w:rPr>
        <w:t>活就业人员筹资。参加职工基本医疗保险的灵活就业人员（含领取失业保险金人员，下同）按照单位职工费率标准参保，费率为0.3%，与基本医疗保险同基数同步缴纳；同时，将灵活就业人员基本医疗保险缴费费率由8.4%调整为8.25%。</w:t>
      </w:r>
    </w:p>
    <w:p w14:paraId="6EFED5A7">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default" w:ascii="Times New Roman" w:hAnsi="Times New Roman" w:eastAsia="仿宋_GB2312" w:cs="Times New Roman"/>
          <w:b w:val="0"/>
          <w:bCs w:val="0"/>
          <w:color w:val="auto"/>
          <w:kern w:val="0"/>
          <w:sz w:val="32"/>
          <w:szCs w:val="32"/>
          <w:highlight w:val="none"/>
          <w:lang w:val="en-US" w:eastAsia="zh-CN" w:bidi="ar"/>
        </w:rPr>
        <w:t>未参加职工</w:t>
      </w:r>
      <w:r>
        <w:rPr>
          <w:rFonts w:hint="eastAsia" w:ascii="Times New Roman" w:hAnsi="Times New Roman" w:eastAsia="仿宋_GB2312" w:cs="Times New Roman"/>
          <w:b w:val="0"/>
          <w:bCs w:val="0"/>
          <w:color w:val="auto"/>
          <w:kern w:val="0"/>
          <w:sz w:val="32"/>
          <w:szCs w:val="32"/>
          <w:highlight w:val="none"/>
          <w:lang w:val="en-US" w:eastAsia="zh-CN" w:bidi="ar"/>
        </w:rPr>
        <w:t>基本医疗保险</w:t>
      </w:r>
      <w:r>
        <w:rPr>
          <w:rFonts w:hint="default" w:ascii="Times New Roman" w:hAnsi="Times New Roman" w:eastAsia="仿宋_GB2312" w:cs="Times New Roman"/>
          <w:b w:val="0"/>
          <w:bCs w:val="0"/>
          <w:color w:val="auto"/>
          <w:kern w:val="0"/>
          <w:sz w:val="32"/>
          <w:szCs w:val="32"/>
          <w:highlight w:val="none"/>
          <w:lang w:val="en-US" w:eastAsia="zh-CN" w:bidi="ar"/>
        </w:rPr>
        <w:t>的灵活就业人员在基本医疗保险参保地按未就业城乡居民参保</w:t>
      </w:r>
      <w:r>
        <w:rPr>
          <w:rFonts w:hint="eastAsia" w:ascii="Times New Roman" w:hAnsi="Times New Roman" w:eastAsia="仿宋_GB2312" w:cs="Times New Roman"/>
          <w:b w:val="0"/>
          <w:bCs w:val="0"/>
          <w:color w:val="auto"/>
          <w:kern w:val="0"/>
          <w:sz w:val="32"/>
          <w:szCs w:val="32"/>
          <w:highlight w:val="none"/>
          <w:lang w:val="en-US" w:eastAsia="zh-CN" w:bidi="ar"/>
        </w:rPr>
        <w:t>政策参保</w:t>
      </w:r>
      <w:r>
        <w:rPr>
          <w:rFonts w:hint="default" w:ascii="Times New Roman" w:hAnsi="Times New Roman" w:eastAsia="仿宋_GB2312" w:cs="Times New Roman"/>
          <w:b w:val="0"/>
          <w:bCs w:val="0"/>
          <w:color w:val="auto"/>
          <w:kern w:val="0"/>
          <w:sz w:val="32"/>
          <w:szCs w:val="32"/>
          <w:highlight w:val="none"/>
          <w:lang w:val="en-US" w:eastAsia="zh-CN" w:bidi="ar"/>
        </w:rPr>
        <w:t>缴费。</w:t>
      </w:r>
      <w:r>
        <w:rPr>
          <w:rFonts w:hint="eastAsia" w:ascii="仿宋_GB2312" w:hAnsi="仿宋_GB2312" w:eastAsia="仿宋_GB2312" w:cs="仿宋_GB2312"/>
          <w:b w:val="0"/>
          <w:bCs w:val="0"/>
          <w:color w:val="auto"/>
          <w:kern w:val="0"/>
          <w:sz w:val="32"/>
          <w:szCs w:val="32"/>
          <w:highlight w:val="none"/>
          <w:lang w:val="en-US" w:eastAsia="zh-CN" w:bidi="ar"/>
        </w:rPr>
        <w:t xml:space="preserve">  </w:t>
      </w:r>
    </w:p>
    <w:p w14:paraId="005F08DA">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第十四条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0"/>
          <w:sz w:val="32"/>
          <w:szCs w:val="32"/>
          <w:highlight w:val="none"/>
          <w:lang w:val="en-US" w:eastAsia="zh-CN" w:bidi="ar"/>
        </w:rPr>
        <w:t>未就业城乡居民筹资。未就业城乡居民</w:t>
      </w:r>
      <w:r>
        <w:rPr>
          <w:rFonts w:hint="eastAsia" w:ascii="仿宋_GB2312" w:hAnsi="仿宋_GB2312" w:eastAsia="仿宋_GB2312" w:cs="仿宋_GB2312"/>
          <w:b w:val="0"/>
          <w:bCs w:val="0"/>
          <w:color w:val="auto"/>
          <w:sz w:val="32"/>
          <w:szCs w:val="32"/>
          <w:lang w:val="en-US" w:eastAsia="zh-CN"/>
        </w:rPr>
        <w:t>长期护理保险</w:t>
      </w:r>
      <w:r>
        <w:rPr>
          <w:rFonts w:hint="eastAsia" w:ascii="仿宋_GB2312" w:hAnsi="仿宋_GB2312" w:eastAsia="仿宋_GB2312" w:cs="仿宋_GB2312"/>
          <w:b w:val="0"/>
          <w:bCs w:val="0"/>
          <w:color w:val="auto"/>
          <w:kern w:val="0"/>
          <w:sz w:val="32"/>
          <w:szCs w:val="32"/>
          <w:highlight w:val="none"/>
          <w:lang w:val="en-US" w:eastAsia="zh-CN" w:bidi="ar"/>
        </w:rPr>
        <w:t>费按年度筹集。筹资由个人缴费与和政府补助构成，个人缴费与和政府补助比例为1:1左右。政府补助由中央财政和地方财政共同承担，政府补助具体办法另行确定。建立未就业城乡居民</w:t>
      </w:r>
      <w:r>
        <w:rPr>
          <w:rFonts w:hint="eastAsia" w:ascii="仿宋_GB2312" w:hAnsi="仿宋_GB2312" w:eastAsia="仿宋_GB2312" w:cs="仿宋_GB2312"/>
          <w:b w:val="0"/>
          <w:bCs w:val="0"/>
          <w:color w:val="auto"/>
          <w:sz w:val="32"/>
          <w:szCs w:val="32"/>
          <w:lang w:val="en-US" w:eastAsia="zh-CN"/>
        </w:rPr>
        <w:t>长期护理保险制度的当年，</w:t>
      </w:r>
      <w:r>
        <w:rPr>
          <w:rFonts w:hint="eastAsia" w:ascii="仿宋_GB2312" w:hAnsi="仿宋_GB2312" w:eastAsia="仿宋_GB2312" w:cs="仿宋_GB2312"/>
          <w:b w:val="0"/>
          <w:bCs w:val="0"/>
          <w:color w:val="auto"/>
          <w:kern w:val="0"/>
          <w:sz w:val="32"/>
          <w:szCs w:val="32"/>
          <w:highlight w:val="none"/>
          <w:lang w:val="en-US" w:eastAsia="zh-CN" w:bidi="ar"/>
        </w:rPr>
        <w:t>以我市上一年度城乡居民人均可支配收入为缴费基数，费率从0.15%左右起步，用5年左右时间逐步过渡到0.3%左右。</w:t>
      </w:r>
    </w:p>
    <w:p w14:paraId="141DC101">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第十五条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default" w:ascii="仿宋_GB2312" w:hAnsi="仿宋_GB2312" w:eastAsia="仿宋_GB2312" w:cs="仿宋_GB2312"/>
          <w:b w:val="0"/>
          <w:bCs w:val="0"/>
          <w:color w:val="auto"/>
          <w:kern w:val="0"/>
          <w:sz w:val="32"/>
          <w:szCs w:val="32"/>
          <w:highlight w:val="none"/>
          <w:lang w:val="en-US" w:eastAsia="zh-CN" w:bidi="ar"/>
        </w:rPr>
        <w:t>困难群体</w:t>
      </w:r>
      <w:r>
        <w:rPr>
          <w:rFonts w:hint="eastAsia" w:ascii="仿宋_GB2312" w:hAnsi="仿宋_GB2312" w:eastAsia="仿宋_GB2312" w:cs="仿宋_GB2312"/>
          <w:b w:val="0"/>
          <w:bCs w:val="0"/>
          <w:color w:val="auto"/>
          <w:kern w:val="0"/>
          <w:sz w:val="32"/>
          <w:szCs w:val="32"/>
          <w:highlight w:val="none"/>
          <w:lang w:val="en-US" w:eastAsia="zh-CN" w:bidi="ar"/>
        </w:rPr>
        <w:t>资助。政府对符合条件的困难人群按未就业城乡居民参加</w:t>
      </w:r>
      <w:r>
        <w:rPr>
          <w:rFonts w:hint="eastAsia" w:ascii="仿宋_GB2312" w:hAnsi="仿宋_GB2312" w:eastAsia="仿宋_GB2312" w:cs="仿宋_GB2312"/>
          <w:b w:val="0"/>
          <w:bCs w:val="0"/>
          <w:color w:val="auto"/>
          <w:sz w:val="32"/>
          <w:szCs w:val="32"/>
          <w:lang w:val="en-US" w:eastAsia="zh-CN"/>
        </w:rPr>
        <w:t>长期护理保险</w:t>
      </w:r>
      <w:r>
        <w:rPr>
          <w:rFonts w:hint="eastAsia" w:ascii="仿宋_GB2312" w:hAnsi="仿宋_GB2312" w:eastAsia="仿宋_GB2312" w:cs="仿宋_GB2312"/>
          <w:b w:val="0"/>
          <w:bCs w:val="0"/>
          <w:color w:val="auto"/>
          <w:kern w:val="0"/>
          <w:sz w:val="32"/>
          <w:szCs w:val="32"/>
          <w:highlight w:val="none"/>
          <w:lang w:val="en-US" w:eastAsia="zh-CN" w:bidi="ar"/>
        </w:rPr>
        <w:t>个人缴费部分予以分类资助，全额资助特困人员，定额资助低保对象、符合条件的防止返贫致贫对象。定额资助标准为个人缴费部分的50%。</w:t>
      </w:r>
    </w:p>
    <w:p w14:paraId="2AEB8924">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 xml:space="preserve">第十六条 </w:t>
      </w:r>
      <w:r>
        <w:rPr>
          <w:rFonts w:hint="default" w:ascii="仿宋_GB2312" w:hAnsi="仿宋_GB2312" w:eastAsia="仿宋_GB2312" w:cs="仿宋_GB2312"/>
          <w:b w:val="0"/>
          <w:bCs w:val="0"/>
          <w:color w:val="auto"/>
          <w:kern w:val="0"/>
          <w:sz w:val="32"/>
          <w:szCs w:val="32"/>
          <w:highlight w:val="none"/>
          <w:lang w:val="en-US" w:eastAsia="zh-CN" w:bidi="ar"/>
        </w:rPr>
        <w:t>18周岁以下人员</w:t>
      </w:r>
      <w:r>
        <w:rPr>
          <w:rFonts w:hint="eastAsia" w:ascii="仿宋_GB2312" w:hAnsi="仿宋_GB2312" w:eastAsia="仿宋_GB2312" w:cs="仿宋_GB2312"/>
          <w:b w:val="0"/>
          <w:bCs w:val="0"/>
          <w:color w:val="auto"/>
          <w:kern w:val="0"/>
          <w:sz w:val="32"/>
          <w:szCs w:val="32"/>
          <w:highlight w:val="none"/>
          <w:lang w:val="en-US" w:eastAsia="zh-CN" w:bidi="ar"/>
        </w:rPr>
        <w:t>特殊政策。18周岁以下未就业人员跟随父母或其他法定抚养人等参保，不单独筹资，享受未就业人员</w:t>
      </w:r>
      <w:r>
        <w:rPr>
          <w:rFonts w:hint="eastAsia" w:ascii="仿宋_GB2312" w:hAnsi="仿宋_GB2312" w:eastAsia="仿宋_GB2312" w:cs="仿宋_GB2312"/>
          <w:b w:val="0"/>
          <w:bCs w:val="0"/>
          <w:color w:val="auto"/>
          <w:sz w:val="32"/>
          <w:szCs w:val="32"/>
          <w:u w:val="none"/>
          <w:lang w:val="en-US" w:eastAsia="zh-CN"/>
        </w:rPr>
        <w:t>长期</w:t>
      </w:r>
      <w:r>
        <w:rPr>
          <w:rFonts w:hint="eastAsia" w:ascii="仿宋_GB2312" w:hAnsi="仿宋_GB2312" w:eastAsia="仿宋_GB2312" w:cs="仿宋_GB2312"/>
          <w:b w:val="0"/>
          <w:bCs w:val="0"/>
          <w:color w:val="auto"/>
          <w:sz w:val="32"/>
          <w:szCs w:val="32"/>
          <w:lang w:val="en-US" w:eastAsia="zh-CN"/>
        </w:rPr>
        <w:t>护理保险</w:t>
      </w:r>
      <w:r>
        <w:rPr>
          <w:rFonts w:hint="eastAsia" w:ascii="仿宋_GB2312" w:hAnsi="仿宋_GB2312" w:eastAsia="仿宋_GB2312" w:cs="仿宋_GB2312"/>
          <w:b w:val="0"/>
          <w:bCs w:val="0"/>
          <w:color w:val="auto"/>
          <w:kern w:val="0"/>
          <w:sz w:val="32"/>
          <w:szCs w:val="32"/>
          <w:highlight w:val="none"/>
          <w:lang w:val="en-US" w:eastAsia="zh-CN" w:bidi="ar"/>
        </w:rPr>
        <w:t>待遇。孤儿、事实无人抚养儿童等人员无法跟从参保的，视同参保。</w:t>
      </w:r>
    </w:p>
    <w:p w14:paraId="3D7B9ECD">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default"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w:t>
      </w:r>
      <w:r>
        <w:rPr>
          <w:rFonts w:hint="eastAsia" w:ascii="Times New Roman" w:hAnsi="Times New Roman" w:eastAsia="黑体" w:cs="Times New Roman"/>
          <w:b w:val="0"/>
          <w:bCs w:val="0"/>
          <w:color w:val="auto"/>
          <w:kern w:val="0"/>
          <w:sz w:val="32"/>
          <w:szCs w:val="32"/>
          <w:highlight w:val="none"/>
          <w:lang w:val="en-US" w:eastAsia="zh-CN" w:bidi="ar"/>
        </w:rPr>
        <w:t>三</w:t>
      </w:r>
      <w:r>
        <w:rPr>
          <w:rFonts w:hint="default" w:ascii="Times New Roman" w:hAnsi="Times New Roman" w:eastAsia="黑体" w:cs="Times New Roman"/>
          <w:b w:val="0"/>
          <w:bCs w:val="0"/>
          <w:color w:val="auto"/>
          <w:kern w:val="0"/>
          <w:sz w:val="32"/>
          <w:szCs w:val="32"/>
          <w:highlight w:val="none"/>
          <w:lang w:val="en-US" w:eastAsia="zh-CN" w:bidi="ar"/>
        </w:rPr>
        <w:t>章 待遇保障</w:t>
      </w:r>
    </w:p>
    <w:p w14:paraId="3184E075">
      <w:pPr>
        <w:keepNext w:val="0"/>
        <w:keepLines w:val="0"/>
        <w:pageBreakBefore w:val="0"/>
        <w:widowControl w:val="0"/>
        <w:kinsoku/>
        <w:wordWrap/>
        <w:overflowPunct/>
        <w:topLinePunct/>
        <w:autoSpaceDE w:val="0"/>
        <w:autoSpaceDN/>
        <w:bidi w:val="0"/>
        <w:adjustRightInd/>
        <w:snapToGrid/>
        <w:spacing w:line="600" w:lineRule="exact"/>
        <w:ind w:left="0" w:leftChars="0" w:right="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黑体" w:hAnsi="黑体" w:eastAsia="黑体" w:cs="黑体"/>
          <w:b w:val="0"/>
          <w:bCs w:val="0"/>
          <w:color w:val="auto"/>
          <w:kern w:val="0"/>
          <w:sz w:val="32"/>
          <w:szCs w:val="32"/>
          <w:highlight w:val="none"/>
          <w:lang w:val="en-US" w:eastAsia="zh-CN" w:bidi="ar"/>
        </w:rPr>
        <w:t>第十七条</w:t>
      </w:r>
      <w:r>
        <w:rPr>
          <w:rFonts w:hint="default"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2"/>
          <w:sz w:val="32"/>
          <w:szCs w:val="32"/>
          <w:lang w:val="en-US" w:eastAsia="zh-CN" w:bidi="ar-SA"/>
        </w:rPr>
        <w:t>保障对象。</w:t>
      </w:r>
      <w:r>
        <w:rPr>
          <w:rFonts w:hint="eastAsia" w:ascii="仿宋_GB2312" w:hAnsi="仿宋_GB2312" w:eastAsia="仿宋_GB2312" w:cs="仿宋_GB2312"/>
          <w:b w:val="0"/>
          <w:bCs w:val="0"/>
          <w:color w:val="auto"/>
          <w:sz w:val="32"/>
          <w:szCs w:val="32"/>
          <w:lang w:val="en-US" w:eastAsia="zh-CN"/>
        </w:rPr>
        <w:t>长期护理保险制度起步阶段保障重度失能人员。</w:t>
      </w:r>
      <w:r>
        <w:rPr>
          <w:rFonts w:hint="eastAsia" w:ascii="仿宋_GB2312" w:hAnsi="仿宋_GB2312" w:eastAsia="仿宋_GB2312" w:cs="仿宋_GB2312"/>
          <w:b w:val="0"/>
          <w:bCs w:val="0"/>
          <w:color w:val="auto"/>
          <w:kern w:val="2"/>
          <w:sz w:val="32"/>
          <w:szCs w:val="32"/>
          <w:lang w:val="en-US" w:eastAsia="zh-CN" w:bidi="ar-SA"/>
        </w:rPr>
        <w:t>按规定参保缴费且失能状态长期持续（一般为6个月以上），经申请通过评估认定的失能人员，可按照规定享受</w:t>
      </w:r>
      <w:r>
        <w:rPr>
          <w:rFonts w:hint="eastAsia" w:ascii="仿宋_GB2312" w:hAnsi="仿宋_GB2312" w:eastAsia="仿宋_GB2312" w:cs="仿宋_GB2312"/>
          <w:b w:val="0"/>
          <w:bCs w:val="0"/>
          <w:color w:val="auto"/>
          <w:sz w:val="32"/>
          <w:szCs w:val="32"/>
          <w:lang w:val="en-US" w:eastAsia="zh-CN"/>
        </w:rPr>
        <w:t>长期护理保险</w:t>
      </w:r>
      <w:r>
        <w:rPr>
          <w:rFonts w:hint="eastAsia" w:ascii="仿宋_GB2312" w:hAnsi="仿宋_GB2312" w:eastAsia="仿宋_GB2312" w:cs="仿宋_GB2312"/>
          <w:b w:val="0"/>
          <w:bCs w:val="0"/>
          <w:color w:val="auto"/>
          <w:kern w:val="2"/>
          <w:sz w:val="32"/>
          <w:szCs w:val="32"/>
          <w:lang w:val="en-US" w:eastAsia="zh-CN" w:bidi="ar-SA"/>
        </w:rPr>
        <w:t>待遇。随着经济发展和制度完善，根据国家和省要求逐步扩大保障对象范围，并根据基金支出需求动态调整费率。</w:t>
      </w:r>
    </w:p>
    <w:p w14:paraId="1B8D254B">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 xml:space="preserve">第十八条 </w:t>
      </w:r>
      <w:r>
        <w:rPr>
          <w:rFonts w:hint="eastAsia" w:ascii="仿宋_GB2312" w:hAnsi="仿宋_GB2312" w:eastAsia="仿宋_GB2312" w:cs="仿宋_GB2312"/>
          <w:b w:val="0"/>
          <w:bCs w:val="0"/>
          <w:color w:val="auto"/>
          <w:sz w:val="32"/>
          <w:szCs w:val="32"/>
          <w:lang w:val="en-US" w:eastAsia="zh-CN"/>
        </w:rPr>
        <w:t>支付范围。执行国家统一的长期护理保险服务项目目录。基金主要用于支付符合规定的长期护理服务机构和人员提供长期护理基本服务所发生的费用，原则上不直接向保障对象发放现金。</w:t>
      </w:r>
      <w:r>
        <w:rPr>
          <w:rFonts w:hint="eastAsia" w:ascii="仿宋_GB2312" w:hAnsi="仿宋_GB2312" w:eastAsia="仿宋_GB2312" w:cs="仿宋_GB2312"/>
          <w:b w:val="0"/>
          <w:bCs w:val="0"/>
          <w:color w:val="auto"/>
          <w:kern w:val="0"/>
          <w:sz w:val="32"/>
          <w:szCs w:val="32"/>
          <w:highlight w:val="none"/>
          <w:lang w:val="en-US" w:eastAsia="zh-CN" w:bidi="ar"/>
        </w:rPr>
        <w:t>基金不予支付机构床位费、膳食费等非护理服务费用以及应由医疗保险支付的医疗费用和法律、法规规定的其他不予支付的费用。逐步将辅助器具服务纳入支付范围。</w:t>
      </w:r>
    </w:p>
    <w:p w14:paraId="3294C37C">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 xml:space="preserve">第十九条 </w:t>
      </w:r>
      <w:r>
        <w:rPr>
          <w:rFonts w:hint="default" w:ascii="仿宋_GB2312" w:hAnsi="仿宋_GB2312" w:eastAsia="仿宋_GB2312" w:cs="仿宋_GB2312"/>
          <w:b w:val="0"/>
          <w:bCs w:val="0"/>
          <w:color w:val="auto"/>
          <w:kern w:val="0"/>
          <w:sz w:val="32"/>
          <w:szCs w:val="32"/>
          <w:highlight w:val="none"/>
          <w:lang w:val="en-US" w:eastAsia="zh-CN" w:bidi="ar"/>
        </w:rPr>
        <w:t>服务</w:t>
      </w:r>
      <w:r>
        <w:rPr>
          <w:rFonts w:hint="eastAsia" w:ascii="仿宋_GB2312" w:hAnsi="仿宋_GB2312" w:eastAsia="仿宋_GB2312" w:cs="仿宋_GB2312"/>
          <w:b w:val="0"/>
          <w:bCs w:val="0"/>
          <w:color w:val="auto"/>
          <w:kern w:val="0"/>
          <w:sz w:val="32"/>
          <w:szCs w:val="32"/>
          <w:highlight w:val="none"/>
          <w:lang w:val="en-US" w:eastAsia="zh-CN" w:bidi="ar"/>
        </w:rPr>
        <w:t>提供</w:t>
      </w:r>
      <w:r>
        <w:rPr>
          <w:rFonts w:hint="default" w:ascii="仿宋_GB2312" w:hAnsi="仿宋_GB2312" w:eastAsia="仿宋_GB2312" w:cs="仿宋_GB2312"/>
          <w:b w:val="0"/>
          <w:bCs w:val="0"/>
          <w:color w:val="auto"/>
          <w:kern w:val="0"/>
          <w:sz w:val="32"/>
          <w:szCs w:val="32"/>
          <w:highlight w:val="none"/>
          <w:lang w:val="en-US" w:eastAsia="zh-CN" w:bidi="ar"/>
        </w:rPr>
        <w:t>方式</w:t>
      </w:r>
      <w:r>
        <w:rPr>
          <w:rFonts w:hint="eastAsia" w:ascii="仿宋_GB2312" w:hAnsi="仿宋_GB2312" w:eastAsia="仿宋_GB2312" w:cs="仿宋_GB2312"/>
          <w:b w:val="0"/>
          <w:bCs w:val="0"/>
          <w:color w:val="auto"/>
          <w:kern w:val="0"/>
          <w:sz w:val="32"/>
          <w:szCs w:val="32"/>
          <w:highlight w:val="none"/>
          <w:lang w:val="en-US" w:eastAsia="zh-CN" w:bidi="ar"/>
        </w:rPr>
        <w:t>。支持机构护理、社区护理、居家护理等服务提供方式。对符合规定的长期护理服务费用，根据服务提供方式实行差异化支付标准。鼓励使用居家和社区护理服务，在支付比例上给予适当倾斜。</w:t>
      </w:r>
    </w:p>
    <w:p w14:paraId="242D96C3">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kern w:val="0"/>
          <w:sz w:val="32"/>
          <w:szCs w:val="32"/>
          <w:highlight w:val="none"/>
          <w:lang w:val="en-US" w:eastAsia="zh-CN" w:bidi="ar"/>
        </w:rPr>
        <w:t xml:space="preserve">第二十条 </w:t>
      </w:r>
      <w:r>
        <w:rPr>
          <w:rFonts w:hint="eastAsia" w:ascii="仿宋_GB2312" w:hAnsi="仿宋_GB2312" w:eastAsia="仿宋_GB2312" w:cs="仿宋_GB2312"/>
          <w:b w:val="0"/>
          <w:bCs w:val="0"/>
          <w:color w:val="auto"/>
          <w:sz w:val="32"/>
          <w:szCs w:val="32"/>
          <w:lang w:val="en-US" w:eastAsia="zh-CN"/>
        </w:rPr>
        <w:t>支付比例。</w:t>
      </w:r>
      <w:r>
        <w:rPr>
          <w:rFonts w:hint="eastAsia" w:ascii="仿宋_GB2312" w:hAnsi="仿宋_GB2312" w:eastAsia="仿宋_GB2312" w:cs="仿宋_GB2312"/>
          <w:b w:val="0"/>
          <w:bCs w:val="0"/>
          <w:color w:val="auto"/>
          <w:kern w:val="2"/>
          <w:sz w:val="32"/>
          <w:szCs w:val="32"/>
          <w:lang w:val="en-US" w:eastAsia="zh-CN" w:bidi="ar-SA"/>
        </w:rPr>
        <w:t>长期护理保险待遇享受不设起付标准，基金支付比例为：</w:t>
      </w:r>
    </w:p>
    <w:p w14:paraId="33EB25F1">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1.机构护理。</w:t>
      </w:r>
      <w:r>
        <w:rPr>
          <w:rFonts w:hint="eastAsia" w:ascii="仿宋_GB2312" w:hAnsi="仿宋_GB2312" w:eastAsia="仿宋_GB2312" w:cs="仿宋_GB2312"/>
          <w:b w:val="0"/>
          <w:bCs w:val="0"/>
          <w:color w:val="auto"/>
          <w:kern w:val="2"/>
          <w:sz w:val="32"/>
          <w:szCs w:val="32"/>
          <w:lang w:val="en-US" w:eastAsia="zh-CN" w:bidi="ar-SA"/>
        </w:rPr>
        <w:t>机构护理是指</w:t>
      </w:r>
      <w:r>
        <w:rPr>
          <w:rFonts w:hint="eastAsia" w:ascii="仿宋_GB2312" w:hAnsi="仿宋_GB2312" w:eastAsia="仿宋_GB2312" w:cs="仿宋_GB2312"/>
          <w:b w:val="0"/>
          <w:bCs w:val="0"/>
          <w:color w:val="auto"/>
          <w:sz w:val="32"/>
          <w:szCs w:val="32"/>
          <w:lang w:val="en-US" w:eastAsia="zh-CN"/>
        </w:rPr>
        <w:t>长期护理</w:t>
      </w:r>
      <w:r>
        <w:rPr>
          <w:rFonts w:hint="eastAsia" w:ascii="仿宋_GB2312" w:hAnsi="仿宋_GB2312" w:eastAsia="仿宋_GB2312" w:cs="仿宋_GB2312"/>
          <w:b w:val="0"/>
          <w:bCs w:val="0"/>
          <w:color w:val="auto"/>
          <w:kern w:val="2"/>
          <w:sz w:val="32"/>
          <w:szCs w:val="32"/>
          <w:lang w:val="en-US" w:eastAsia="zh-CN" w:bidi="ar-SA"/>
        </w:rPr>
        <w:t>服务机构在所开设的机构内为参保人员提供全日的长期护理服务，支</w:t>
      </w:r>
      <w:r>
        <w:rPr>
          <w:rFonts w:hint="eastAsia" w:ascii="仿宋_GB2312" w:hAnsi="仿宋_GB2312" w:eastAsia="仿宋_GB2312" w:cs="仿宋_GB2312"/>
          <w:b w:val="0"/>
          <w:bCs w:val="0"/>
          <w:color w:val="auto"/>
          <w:sz w:val="32"/>
          <w:szCs w:val="32"/>
          <w:lang w:val="en-US" w:eastAsia="zh-CN"/>
        </w:rPr>
        <w:t>付比例为职工（含单位职工、退休人员、按单位职工费率参保的灵活就业人员，下同）65%，未就业城乡居民45%。</w:t>
      </w:r>
    </w:p>
    <w:p w14:paraId="5AF66E03">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2.社区护理。社区护理是指长期护理服务机构以社区为依托为参保人员提供就近、非全日的长期护理服务，支付比例为职工70%，未就业城乡居民50%。</w:t>
      </w:r>
    </w:p>
    <w:p w14:paraId="719CD83F">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3.居家护理。居家护理是指长期护理服务机构在参保人员所居住的家庭住所内为参保人员提供长期护理服务</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支付比例</w:t>
      </w:r>
      <w:r>
        <w:rPr>
          <w:rFonts w:hint="eastAsia" w:ascii="仿宋_GB2312" w:hAnsi="仿宋_GB2312" w:eastAsia="仿宋_GB2312" w:cs="仿宋_GB2312"/>
          <w:b w:val="0"/>
          <w:bCs w:val="0"/>
          <w:color w:val="auto"/>
          <w:sz w:val="32"/>
          <w:szCs w:val="32"/>
          <w:lang w:val="en-US" w:eastAsia="zh-CN"/>
        </w:rPr>
        <w:t>职工75</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未就业城乡居民55%</w:t>
      </w:r>
      <w:r>
        <w:rPr>
          <w:rFonts w:hint="eastAsia" w:ascii="仿宋_GB2312" w:hAnsi="仿宋_GB2312" w:eastAsia="仿宋_GB2312" w:cs="仿宋_GB2312"/>
          <w:b w:val="0"/>
          <w:bCs w:val="0"/>
          <w:color w:val="auto"/>
          <w:sz w:val="32"/>
          <w:szCs w:val="32"/>
        </w:rPr>
        <w:t>。</w:t>
      </w:r>
    </w:p>
    <w:p w14:paraId="15097B56">
      <w:pPr>
        <w:keepNext w:val="0"/>
        <w:keepLines w:val="0"/>
        <w:pageBreakBefore w:val="0"/>
        <w:widowControl w:val="0"/>
        <w:kinsoku/>
        <w:wordWrap/>
        <w:overflowPunct/>
        <w:topLinePunct/>
        <w:autoSpaceDE w:val="0"/>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黑体" w:hAnsi="黑体" w:eastAsia="黑体" w:cs="黑体"/>
          <w:b w:val="0"/>
          <w:bCs w:val="0"/>
          <w:color w:val="auto"/>
          <w:kern w:val="0"/>
          <w:sz w:val="32"/>
          <w:szCs w:val="32"/>
          <w:highlight w:val="none"/>
          <w:lang w:val="en-US" w:eastAsia="zh-CN" w:bidi="ar"/>
        </w:rPr>
        <w:t xml:space="preserve">第二十一条 </w:t>
      </w:r>
      <w:r>
        <w:rPr>
          <w:rFonts w:hint="eastAsia" w:ascii="仿宋_GB2312" w:hAnsi="仿宋_GB2312" w:eastAsia="仿宋_GB2312" w:cs="仿宋_GB2312"/>
          <w:b w:val="0"/>
          <w:bCs w:val="0"/>
          <w:color w:val="auto"/>
          <w:kern w:val="2"/>
          <w:sz w:val="32"/>
          <w:szCs w:val="32"/>
          <w:lang w:val="en-US" w:eastAsia="zh-CN" w:bidi="ar-SA"/>
        </w:rPr>
        <w:t>年度最高支付限额</w:t>
      </w:r>
      <w:r>
        <w:rPr>
          <w:rFonts w:hint="eastAsia" w:ascii="楷体_GB2312" w:hAnsi="楷体_GB2312" w:eastAsia="楷体_GB2312" w:cs="楷体_GB2312"/>
          <w:b w:val="0"/>
          <w:bCs w:val="0"/>
          <w:color w:val="auto"/>
          <w:kern w:val="2"/>
          <w:sz w:val="32"/>
          <w:szCs w:val="32"/>
          <w:lang w:val="en-US" w:eastAsia="zh-CN" w:bidi="ar-SA"/>
        </w:rPr>
        <w:t>。</w:t>
      </w:r>
      <w:r>
        <w:rPr>
          <w:rFonts w:hint="eastAsia" w:ascii="仿宋_GB2312" w:hAnsi="仿宋_GB2312" w:eastAsia="仿宋_GB2312" w:cs="仿宋_GB2312"/>
          <w:b w:val="0"/>
          <w:bCs w:val="0"/>
          <w:color w:val="auto"/>
          <w:kern w:val="2"/>
          <w:sz w:val="32"/>
          <w:szCs w:val="32"/>
          <w:lang w:val="en-US" w:eastAsia="zh-CN" w:bidi="ar-SA"/>
        </w:rPr>
        <w:t>参保人员基金年度最高支付限额按照职工和未就业城乡居民分别设定，最高不超过我市上年度城乡居民人均可支配收入的50%。</w:t>
      </w:r>
    </w:p>
    <w:p w14:paraId="7F5048D8">
      <w:pPr>
        <w:keepNext w:val="0"/>
        <w:keepLines w:val="0"/>
        <w:pageBreakBefore w:val="0"/>
        <w:widowControl w:val="0"/>
        <w:kinsoku/>
        <w:wordWrap/>
        <w:overflowPunct/>
        <w:topLinePunct/>
        <w:autoSpaceDE w:val="0"/>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根据2025年度我市城乡居民人均可支配收入，确定制度实施初期，我市职工年度最高支付限额为12920元，未就业城乡居民年度最高支付限额7750元。今后，市医保部门会同市财政部门对年度最高支付限额适时调整。市医保部门可将年度最高支付限额分配至月度，实行月度限额管理；并可根据服务类型、服务时长、服务频次、服务项目搭配等，进行打包支付，实行差异化支付标准。</w:t>
      </w:r>
    </w:p>
    <w:p w14:paraId="6858B90C">
      <w:pPr>
        <w:pStyle w:val="11"/>
        <w:keepNext w:val="0"/>
        <w:keepLines w:val="0"/>
        <w:pageBreakBefore w:val="0"/>
        <w:widowControl w:val="0"/>
        <w:kinsoku/>
        <w:wordWrap/>
        <w:overflowPunct/>
        <w:topLinePunct/>
        <w:autoSpaceDE w:val="0"/>
        <w:autoSpaceDN/>
        <w:bidi w:val="0"/>
        <w:adjustRightInd/>
        <w:snapToGrid/>
        <w:spacing w:after="0" w:afterLines="0" w:line="600" w:lineRule="exact"/>
        <w:ind w:left="0" w:leftChars="0" w:firstLine="640" w:firstLineChars="200"/>
        <w:textAlignment w:val="auto"/>
        <w:rPr>
          <w:rFonts w:hint="eastAsia"/>
          <w:b w:val="0"/>
          <w:bCs w:val="0"/>
          <w:color w:val="auto"/>
          <w:lang w:val="en-US" w:eastAsia="zh-CN"/>
        </w:rPr>
      </w:pPr>
      <w:r>
        <w:rPr>
          <w:rFonts w:hint="eastAsia" w:ascii="黑体" w:hAnsi="黑体" w:eastAsia="黑体" w:cs="黑体"/>
          <w:b w:val="0"/>
          <w:bCs w:val="0"/>
          <w:color w:val="auto"/>
          <w:kern w:val="0"/>
          <w:sz w:val="32"/>
          <w:szCs w:val="32"/>
          <w:highlight w:val="none"/>
          <w:lang w:val="en-US" w:eastAsia="zh-CN" w:bidi="ar"/>
        </w:rPr>
        <w:t>第二十二条</w:t>
      </w:r>
      <w:r>
        <w:rPr>
          <w:rFonts w:hint="eastAsia" w:ascii="楷体_GB2312" w:hAnsi="楷体_GB2312" w:eastAsia="楷体_GB2312" w:cs="楷体_GB2312"/>
          <w:b w:val="0"/>
          <w:bCs w:val="0"/>
          <w:color w:val="auto"/>
          <w:kern w:val="2"/>
          <w:sz w:val="32"/>
          <w:szCs w:val="32"/>
          <w:lang w:val="en-US" w:eastAsia="zh-CN" w:bidi="ar-SA"/>
        </w:rPr>
        <w:t xml:space="preserve"> </w:t>
      </w:r>
      <w:r>
        <w:rPr>
          <w:rFonts w:hint="eastAsia" w:ascii="仿宋_GB2312" w:hAnsi="仿宋_GB2312" w:eastAsia="仿宋_GB2312" w:cs="仿宋_GB2312"/>
          <w:b w:val="0"/>
          <w:bCs w:val="0"/>
          <w:color w:val="auto"/>
          <w:sz w:val="32"/>
          <w:szCs w:val="32"/>
          <w:lang w:eastAsia="zh-CN"/>
        </w:rPr>
        <w:t>建立缴费时长和待遇水平相挂钩的连续参保激励机制，对连续参保的按规定适当提高支付比例。除新生儿、</w:t>
      </w:r>
      <w:r>
        <w:rPr>
          <w:rFonts w:hint="eastAsia" w:ascii="仿宋_GB2312" w:hAnsi="仿宋_GB2312" w:eastAsia="仿宋_GB2312" w:cs="仿宋_GB2312"/>
          <w:b w:val="0"/>
          <w:bCs w:val="0"/>
          <w:color w:val="auto"/>
          <w:sz w:val="32"/>
          <w:szCs w:val="32"/>
          <w:lang w:val="en-US" w:eastAsia="zh-CN"/>
        </w:rPr>
        <w:t>政府资助参加长护险的对象</w:t>
      </w:r>
      <w:r>
        <w:rPr>
          <w:rFonts w:hint="eastAsia" w:ascii="仿宋_GB2312" w:hAnsi="仿宋_GB2312" w:eastAsia="仿宋_GB2312" w:cs="仿宋_GB2312"/>
          <w:b w:val="0"/>
          <w:bCs w:val="0"/>
          <w:color w:val="auto"/>
          <w:sz w:val="32"/>
          <w:szCs w:val="32"/>
          <w:lang w:eastAsia="zh-CN"/>
        </w:rPr>
        <w:t>等特殊群体外，对未在</w:t>
      </w:r>
      <w:r>
        <w:rPr>
          <w:rFonts w:hint="eastAsia" w:ascii="仿宋_GB2312" w:hAnsi="仿宋_GB2312" w:eastAsia="仿宋_GB2312" w:cs="仿宋_GB2312"/>
          <w:b w:val="0"/>
          <w:bCs w:val="0"/>
          <w:color w:val="auto"/>
          <w:sz w:val="32"/>
          <w:szCs w:val="32"/>
          <w:lang w:val="en-US" w:eastAsia="zh-CN"/>
        </w:rPr>
        <w:t>当地长期护理保险</w:t>
      </w:r>
      <w:r>
        <w:rPr>
          <w:rFonts w:hint="eastAsia" w:ascii="仿宋_GB2312" w:hAnsi="仿宋_GB2312" w:eastAsia="仿宋_GB2312" w:cs="仿宋_GB2312"/>
          <w:b w:val="0"/>
          <w:bCs w:val="0"/>
          <w:color w:val="auto"/>
          <w:sz w:val="32"/>
          <w:szCs w:val="32"/>
          <w:lang w:eastAsia="zh-CN"/>
        </w:rPr>
        <w:t>制度启动时初次参保</w:t>
      </w:r>
      <w:r>
        <w:rPr>
          <w:rFonts w:hint="eastAsia" w:ascii="仿宋_GB2312" w:hAnsi="仿宋_GB2312" w:eastAsia="仿宋_GB2312" w:cs="仿宋_GB2312"/>
          <w:b w:val="0"/>
          <w:bCs w:val="0"/>
          <w:color w:val="auto"/>
          <w:sz w:val="32"/>
          <w:szCs w:val="32"/>
          <w:lang w:val="en-US" w:eastAsia="zh-CN"/>
        </w:rPr>
        <w:t>或未连续参保的人员</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设置参保后固定待遇等待期6个月；每多断保1年，原则上在固定待遇等待期基础上增加变动待遇等待期1个月，参保人员可通过缴费修复变动待遇等待期，每多缴纳1年可减少1个月变动待遇等待期。连续断缴4年及以上的，修复后固定待遇等待期和变动待遇等待期之和原则上不少于9个月。修复变动待遇等待期的缴费标准，按修复当年参保地个人缴费标准执行。探索建立参保诚信机制。</w:t>
      </w:r>
    </w:p>
    <w:p w14:paraId="18D11D71">
      <w:pPr>
        <w:keepNext w:val="0"/>
        <w:keepLines w:val="0"/>
        <w:pageBreakBefore w:val="0"/>
        <w:widowControl w:val="0"/>
        <w:kinsoku/>
        <w:wordWrap/>
        <w:overflowPunct/>
        <w:topLinePunct/>
        <w:autoSpaceDE w:val="0"/>
        <w:autoSpaceDN/>
        <w:bidi w:val="0"/>
        <w:adjustRightInd/>
        <w:snapToGrid/>
        <w:spacing w:line="600" w:lineRule="exact"/>
        <w:ind w:left="0" w:leftChars="0" w:firstLine="640" w:firstLineChars="200"/>
        <w:textAlignment w:val="auto"/>
        <w:rPr>
          <w:rFonts w:hint="default"/>
          <w:b w:val="0"/>
          <w:bCs w:val="0"/>
          <w:color w:val="auto"/>
          <w:lang w:val="en-US" w:eastAsia="zh-CN"/>
        </w:rPr>
      </w:pPr>
      <w:r>
        <w:rPr>
          <w:rFonts w:hint="eastAsia" w:ascii="黑体" w:hAnsi="黑体" w:eastAsia="黑体" w:cs="黑体"/>
          <w:b w:val="0"/>
          <w:bCs w:val="0"/>
          <w:color w:val="auto"/>
          <w:kern w:val="0"/>
          <w:sz w:val="32"/>
          <w:szCs w:val="32"/>
          <w:highlight w:val="none"/>
          <w:lang w:val="en-US" w:eastAsia="zh-CN" w:bidi="ar"/>
        </w:rPr>
        <w:t>第二十三条</w:t>
      </w:r>
      <w:r>
        <w:rPr>
          <w:rFonts w:hint="eastAsia" w:ascii="楷体_GB2312" w:hAnsi="楷体_GB2312" w:eastAsia="楷体_GB2312" w:cs="楷体_GB2312"/>
          <w:b w:val="0"/>
          <w:bCs w:val="0"/>
          <w:color w:val="auto"/>
          <w:kern w:val="2"/>
          <w:sz w:val="32"/>
          <w:szCs w:val="32"/>
          <w:lang w:val="en-US" w:eastAsia="zh-CN" w:bidi="ar-SA"/>
        </w:rPr>
        <w:t xml:space="preserve"> </w:t>
      </w:r>
      <w:r>
        <w:rPr>
          <w:rFonts w:hint="default" w:ascii="Times New Roman" w:hAnsi="Times New Roman" w:eastAsia="仿宋_GB2312" w:cs="Times New Roman"/>
          <w:b w:val="0"/>
          <w:bCs w:val="0"/>
          <w:color w:val="auto"/>
          <w:kern w:val="2"/>
          <w:sz w:val="32"/>
          <w:szCs w:val="32"/>
          <w:lang w:val="en-US" w:eastAsia="zh-CN" w:bidi="ar-SA"/>
        </w:rPr>
        <w:t>领取工伤保险生活护理费的参保人员，不重复享受长期护理保险相关服务待遇。</w:t>
      </w:r>
      <w:r>
        <w:rPr>
          <w:rFonts w:hint="eastAsia" w:ascii="Times New Roman" w:hAnsi="Times New Roman" w:eastAsia="仿宋_GB2312" w:cs="Times New Roman"/>
          <w:b w:val="0"/>
          <w:bCs w:val="0"/>
          <w:color w:val="auto"/>
          <w:kern w:val="2"/>
          <w:sz w:val="32"/>
          <w:szCs w:val="32"/>
          <w:lang w:val="en-US" w:eastAsia="zh-CN" w:bidi="ar-SA"/>
        </w:rPr>
        <w:t>按照国家和我省统一部署，做好长期护理保险与经济困难的高龄、失能老年人补贴以及重度残疾人护理补贴等政策的衔接。</w:t>
      </w:r>
    </w:p>
    <w:bookmarkEnd w:id="0"/>
    <w:p w14:paraId="2EB563CC">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eastAsia"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w:t>
      </w:r>
      <w:r>
        <w:rPr>
          <w:rFonts w:hint="eastAsia" w:ascii="Times New Roman" w:hAnsi="Times New Roman" w:eastAsia="黑体" w:cs="Times New Roman"/>
          <w:b w:val="0"/>
          <w:bCs w:val="0"/>
          <w:color w:val="auto"/>
          <w:kern w:val="0"/>
          <w:sz w:val="32"/>
          <w:szCs w:val="32"/>
          <w:highlight w:val="none"/>
          <w:lang w:val="en-US" w:eastAsia="zh-CN" w:bidi="ar"/>
        </w:rPr>
        <w:t>四</w:t>
      </w:r>
      <w:r>
        <w:rPr>
          <w:rFonts w:hint="default" w:ascii="Times New Roman" w:hAnsi="Times New Roman" w:eastAsia="黑体" w:cs="Times New Roman"/>
          <w:b w:val="0"/>
          <w:bCs w:val="0"/>
          <w:color w:val="auto"/>
          <w:kern w:val="0"/>
          <w:sz w:val="32"/>
          <w:szCs w:val="32"/>
          <w:highlight w:val="none"/>
          <w:lang w:val="en-US" w:eastAsia="zh-CN" w:bidi="ar"/>
        </w:rPr>
        <w:t xml:space="preserve">章 </w:t>
      </w:r>
      <w:r>
        <w:rPr>
          <w:rFonts w:hint="eastAsia" w:ascii="Times New Roman" w:hAnsi="Times New Roman" w:eastAsia="黑体" w:cs="Times New Roman"/>
          <w:b w:val="0"/>
          <w:bCs w:val="0"/>
          <w:color w:val="auto"/>
          <w:kern w:val="0"/>
          <w:sz w:val="32"/>
          <w:szCs w:val="32"/>
          <w:highlight w:val="none"/>
          <w:lang w:val="en-US" w:eastAsia="zh-CN" w:bidi="ar"/>
        </w:rPr>
        <w:t>评估管理</w:t>
      </w:r>
    </w:p>
    <w:p w14:paraId="28421622">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四</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执行全国统一的</w:t>
      </w:r>
      <w:r>
        <w:rPr>
          <w:rFonts w:hint="default" w:ascii="Times New Roman" w:hAnsi="Times New Roman" w:eastAsia="仿宋_GB2312" w:cs="Times New Roman"/>
          <w:b w:val="0"/>
          <w:bCs w:val="0"/>
          <w:color w:val="auto"/>
          <w:sz w:val="32"/>
          <w:szCs w:val="32"/>
          <w:lang w:val="en-US" w:eastAsia="zh-CN"/>
        </w:rPr>
        <w:t>长期护理保险</w:t>
      </w:r>
      <w:r>
        <w:rPr>
          <w:rFonts w:hint="default" w:ascii="Times New Roman" w:hAnsi="Times New Roman" w:eastAsia="仿宋_GB2312" w:cs="Times New Roman"/>
          <w:b w:val="0"/>
          <w:bCs w:val="0"/>
          <w:color w:val="auto"/>
          <w:kern w:val="0"/>
          <w:sz w:val="32"/>
          <w:szCs w:val="32"/>
          <w:highlight w:val="none"/>
          <w:lang w:val="en-US" w:eastAsia="zh-CN" w:bidi="ar"/>
        </w:rPr>
        <w:t>失能等级评估标准、操作指南和管理办法。</w:t>
      </w:r>
    </w:p>
    <w:p w14:paraId="35099BCF">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五</w:t>
      </w:r>
      <w:r>
        <w:rPr>
          <w:rFonts w:hint="default" w:ascii="黑体" w:hAnsi="黑体" w:eastAsia="黑体" w:cs="黑体"/>
          <w:b w:val="0"/>
          <w:bCs w:val="0"/>
          <w:color w:val="auto"/>
          <w:kern w:val="0"/>
          <w:sz w:val="32"/>
          <w:szCs w:val="32"/>
          <w:highlight w:val="none"/>
          <w:lang w:val="en-US" w:eastAsia="zh-CN" w:bidi="ar"/>
        </w:rPr>
        <w:t>条</w:t>
      </w:r>
      <w:r>
        <w:rPr>
          <w:rFonts w:hint="eastAsia" w:ascii="黑体" w:hAnsi="黑体" w:eastAsia="黑体" w:cs="黑体"/>
          <w:b w:val="0"/>
          <w:bCs w:val="0"/>
          <w:color w:val="auto"/>
          <w:kern w:val="0"/>
          <w:sz w:val="32"/>
          <w:szCs w:val="32"/>
          <w:highlight w:val="none"/>
          <w:lang w:val="en-US" w:eastAsia="zh-CN" w:bidi="ar"/>
        </w:rPr>
        <w:t xml:space="preserve"> </w:t>
      </w:r>
      <w:r>
        <w:rPr>
          <w:rFonts w:hint="default" w:ascii="Times New Roman" w:hAnsi="Times New Roman" w:eastAsia="仿宋_GB2312" w:cs="Times New Roman"/>
          <w:b w:val="0"/>
          <w:bCs w:val="0"/>
          <w:color w:val="auto"/>
          <w:kern w:val="0"/>
          <w:sz w:val="32"/>
          <w:szCs w:val="32"/>
          <w:highlight w:val="none"/>
          <w:lang w:val="en-US" w:eastAsia="zh-CN" w:bidi="ar"/>
        </w:rPr>
        <w:t>支持发展独立的评估机构，实行定点管理。发挥家庭医生、养老服务师在评估和服务计划制定中的作用。暂不具备独立定点条件</w:t>
      </w:r>
      <w:r>
        <w:rPr>
          <w:rFonts w:hint="eastAsia" w:ascii="Times New Roman" w:hAnsi="Times New Roman" w:eastAsia="仿宋_GB2312" w:cs="Times New Roman"/>
          <w:b w:val="0"/>
          <w:bCs w:val="0"/>
          <w:color w:val="auto"/>
          <w:kern w:val="0"/>
          <w:sz w:val="32"/>
          <w:szCs w:val="32"/>
          <w:highlight w:val="none"/>
          <w:lang w:val="en-US" w:eastAsia="zh-CN" w:bidi="ar"/>
        </w:rPr>
        <w:t>时</w:t>
      </w:r>
      <w:r>
        <w:rPr>
          <w:rFonts w:hint="default" w:ascii="Times New Roman" w:hAnsi="Times New Roman" w:eastAsia="仿宋_GB2312" w:cs="Times New Roman"/>
          <w:b w:val="0"/>
          <w:bCs w:val="0"/>
          <w:color w:val="auto"/>
          <w:kern w:val="0"/>
          <w:sz w:val="32"/>
          <w:szCs w:val="32"/>
          <w:highlight w:val="none"/>
          <w:lang w:val="en-US" w:eastAsia="zh-CN" w:bidi="ar"/>
        </w:rPr>
        <w:t>，可依托</w:t>
      </w:r>
      <w:r>
        <w:rPr>
          <w:rFonts w:hint="eastAsia" w:ascii="Times New Roman" w:hAnsi="Times New Roman" w:eastAsia="仿宋_GB2312" w:cs="Times New Roman"/>
          <w:b w:val="0"/>
          <w:bCs w:val="0"/>
          <w:color w:val="auto"/>
          <w:kern w:val="0"/>
          <w:sz w:val="32"/>
          <w:szCs w:val="32"/>
          <w:highlight w:val="none"/>
          <w:lang w:val="en-US" w:eastAsia="zh-CN" w:bidi="ar"/>
        </w:rPr>
        <w:t>医保部门认定的</w:t>
      </w:r>
      <w:r>
        <w:rPr>
          <w:rFonts w:hint="default" w:ascii="Times New Roman" w:hAnsi="Times New Roman" w:eastAsia="仿宋_GB2312" w:cs="Times New Roman"/>
          <w:b w:val="0"/>
          <w:bCs w:val="0"/>
          <w:color w:val="auto"/>
          <w:kern w:val="0"/>
          <w:sz w:val="32"/>
          <w:szCs w:val="32"/>
          <w:highlight w:val="none"/>
          <w:lang w:val="en-US" w:eastAsia="zh-CN" w:bidi="ar"/>
        </w:rPr>
        <w:t>医疗机构、劳动能力鉴定机构、商业保险机构等实施评估。</w:t>
      </w:r>
      <w:r>
        <w:rPr>
          <w:rFonts w:hint="eastAsia" w:ascii="Times New Roman" w:hAnsi="Times New Roman" w:eastAsia="仿宋_GB2312" w:cs="Times New Roman"/>
          <w:b w:val="0"/>
          <w:bCs w:val="0"/>
          <w:color w:val="auto"/>
          <w:kern w:val="0"/>
          <w:sz w:val="32"/>
          <w:szCs w:val="32"/>
          <w:highlight w:val="none"/>
          <w:lang w:val="en-US" w:eastAsia="zh-CN" w:bidi="ar"/>
        </w:rPr>
        <w:t>逐步向</w:t>
      </w:r>
      <w:r>
        <w:rPr>
          <w:rFonts w:hint="default" w:ascii="Times New Roman" w:hAnsi="Times New Roman" w:eastAsia="仿宋_GB2312" w:cs="Times New Roman"/>
          <w:b w:val="0"/>
          <w:bCs w:val="0"/>
          <w:color w:val="auto"/>
          <w:kern w:val="0"/>
          <w:sz w:val="32"/>
          <w:szCs w:val="32"/>
          <w:highlight w:val="none"/>
          <w:lang w:val="en-US" w:eastAsia="zh-CN" w:bidi="ar"/>
        </w:rPr>
        <w:t>独立的评估机构</w:t>
      </w:r>
      <w:r>
        <w:rPr>
          <w:rFonts w:hint="eastAsia" w:ascii="Times New Roman" w:hAnsi="Times New Roman" w:eastAsia="仿宋_GB2312" w:cs="Times New Roman"/>
          <w:b w:val="0"/>
          <w:bCs w:val="0"/>
          <w:color w:val="auto"/>
          <w:kern w:val="0"/>
          <w:sz w:val="32"/>
          <w:szCs w:val="32"/>
          <w:highlight w:val="none"/>
          <w:lang w:val="en-US" w:eastAsia="zh-CN" w:bidi="ar"/>
        </w:rPr>
        <w:t>实施评估过渡。</w:t>
      </w:r>
    </w:p>
    <w:p w14:paraId="56DA1C12">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六</w:t>
      </w:r>
      <w:r>
        <w:rPr>
          <w:rFonts w:hint="default" w:ascii="黑体" w:hAnsi="黑体" w:eastAsia="黑体" w:cs="黑体"/>
          <w:b w:val="0"/>
          <w:bCs w:val="0"/>
          <w:color w:val="auto"/>
          <w:kern w:val="0"/>
          <w:sz w:val="32"/>
          <w:szCs w:val="32"/>
          <w:highlight w:val="none"/>
          <w:lang w:val="en-US" w:eastAsia="zh-CN" w:bidi="ar"/>
        </w:rPr>
        <w:t>条</w:t>
      </w:r>
      <w:r>
        <w:rPr>
          <w:rFonts w:hint="eastAsia" w:ascii="黑体" w:hAnsi="黑体" w:eastAsia="黑体" w:cs="黑体"/>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0"/>
          <w:sz w:val="32"/>
          <w:szCs w:val="32"/>
          <w:highlight w:val="none"/>
          <w:lang w:val="en-US" w:eastAsia="zh-CN" w:bidi="ar"/>
        </w:rPr>
        <w:t>建立健全评估服务费由基金和个人分担机制，可综合考虑评估结果等因素，明确评估服务费由基金和个人合理分担的具体情形，避免随意使用评估申请权。原则上参保人首次评估通过和按照制度要求参加定期复评的评估服务费由基金支付。</w:t>
      </w:r>
    </w:p>
    <w:p w14:paraId="37B5E5A0">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我市评估服务费暂定为每个评估对象每次200元，市医保部门可会同市财政部门适时调整。</w:t>
      </w:r>
    </w:p>
    <w:p w14:paraId="22BB0B51">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评估服务费在申请时预交，评估通过后按规定返还</w:t>
      </w:r>
      <w:r>
        <w:rPr>
          <w:rFonts w:hint="eastAsia" w:ascii="Times New Roman" w:hAnsi="Times New Roman" w:eastAsia="仿宋_GB2312" w:cs="Times New Roman"/>
          <w:b w:val="0"/>
          <w:bCs w:val="0"/>
          <w:color w:val="auto"/>
          <w:kern w:val="0"/>
          <w:sz w:val="32"/>
          <w:szCs w:val="32"/>
          <w:highlight w:val="none"/>
          <w:lang w:val="en-US" w:eastAsia="zh-CN" w:bidi="ar"/>
        </w:rPr>
        <w:t>。</w:t>
      </w:r>
    </w:p>
    <w:p w14:paraId="4F9D1042">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w:t>
      </w:r>
      <w:r>
        <w:rPr>
          <w:rFonts w:hint="eastAsia" w:ascii="Times New Roman" w:hAnsi="Times New Roman" w:eastAsia="黑体" w:cs="Times New Roman"/>
          <w:b w:val="0"/>
          <w:bCs w:val="0"/>
          <w:color w:val="auto"/>
          <w:kern w:val="0"/>
          <w:sz w:val="32"/>
          <w:szCs w:val="32"/>
          <w:highlight w:val="none"/>
          <w:lang w:val="en-US" w:eastAsia="zh-CN" w:bidi="ar"/>
        </w:rPr>
        <w:t>五</w:t>
      </w:r>
      <w:r>
        <w:rPr>
          <w:rFonts w:hint="default" w:ascii="Times New Roman" w:hAnsi="Times New Roman" w:eastAsia="黑体" w:cs="Times New Roman"/>
          <w:b w:val="0"/>
          <w:bCs w:val="0"/>
          <w:color w:val="auto"/>
          <w:kern w:val="0"/>
          <w:sz w:val="32"/>
          <w:szCs w:val="32"/>
          <w:highlight w:val="none"/>
          <w:lang w:val="en-US" w:eastAsia="zh-CN" w:bidi="ar"/>
        </w:rPr>
        <w:t xml:space="preserve">章 </w:t>
      </w:r>
      <w:r>
        <w:rPr>
          <w:rFonts w:hint="eastAsia" w:ascii="Times New Roman" w:hAnsi="Times New Roman" w:eastAsia="黑体" w:cs="Times New Roman"/>
          <w:b w:val="0"/>
          <w:bCs w:val="0"/>
          <w:color w:val="auto"/>
          <w:kern w:val="0"/>
          <w:sz w:val="32"/>
          <w:szCs w:val="32"/>
          <w:highlight w:val="none"/>
          <w:lang w:val="en-US" w:eastAsia="zh-CN" w:bidi="ar"/>
        </w:rPr>
        <w:t>服务管理</w:t>
      </w:r>
    </w:p>
    <w:p w14:paraId="2AC3391E">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七</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0"/>
          <w:sz w:val="32"/>
          <w:szCs w:val="32"/>
          <w:highlight w:val="none"/>
          <w:lang w:val="en-US" w:eastAsia="zh-CN" w:bidi="ar"/>
        </w:rPr>
        <w:t xml:space="preserve">长期护理服务机构实行定点管理。做好长期护理保险定点护理服务机构资源合理配置。根据定点管理需要，逐步按照政府采购的有关规定确定长期护理保险定点护理服务机构。鼓励支持基层医疗卫生机构、养老服务机构提供长期护理服务。  </w:t>
      </w:r>
    </w:p>
    <w:p w14:paraId="15AE119C">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八</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0"/>
          <w:sz w:val="32"/>
          <w:szCs w:val="32"/>
          <w:highlight w:val="none"/>
          <w:lang w:val="en-US" w:eastAsia="zh-CN" w:bidi="ar"/>
        </w:rPr>
        <w:t>加强长期护理保险定点护理服务机构内部运行、服务提供、基金使用、信息化支撑等方面的规范化管理。</w:t>
      </w:r>
    </w:p>
    <w:p w14:paraId="6EC106C6">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eastAsia" w:ascii="Times New Roman" w:hAnsi="Times New Roman" w:eastAsia="仿宋_GB2312" w:cs="Times New Roman"/>
          <w:b w:val="0"/>
          <w:bCs w:val="0"/>
          <w:color w:val="auto"/>
          <w:kern w:val="0"/>
          <w:sz w:val="32"/>
          <w:szCs w:val="32"/>
          <w:highlight w:val="none"/>
          <w:lang w:val="en-US" w:eastAsia="zh-CN" w:bidi="ar"/>
        </w:rPr>
        <w:t>长期护理保险定点护理服务机构按照有关规定和护理服务计划，为参保人员提供适宜、专业、规范的护理服务。</w:t>
      </w:r>
    </w:p>
    <w:p w14:paraId="590EC306">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eastAsia" w:ascii="Times New Roman" w:hAnsi="Times New Roman" w:eastAsia="仿宋_GB2312" w:cs="Times New Roman"/>
          <w:b w:val="0"/>
          <w:bCs w:val="0"/>
          <w:color w:val="auto"/>
          <w:kern w:val="0"/>
          <w:sz w:val="32"/>
          <w:szCs w:val="32"/>
          <w:highlight w:val="none"/>
          <w:lang w:val="en-US" w:eastAsia="zh-CN" w:bidi="ar"/>
        </w:rPr>
        <w:t>建立健全长期护理保险服务质量评价机制和费用控制激励约束机制。</w:t>
      </w:r>
    </w:p>
    <w:p w14:paraId="3BD6C914">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九</w:t>
      </w:r>
      <w:r>
        <w:rPr>
          <w:rFonts w:hint="default" w:ascii="黑体" w:hAnsi="黑体" w:eastAsia="黑体" w:cs="黑体"/>
          <w:b w:val="0"/>
          <w:bCs w:val="0"/>
          <w:color w:val="auto"/>
          <w:kern w:val="0"/>
          <w:sz w:val="32"/>
          <w:szCs w:val="32"/>
          <w:highlight w:val="none"/>
          <w:lang w:val="en-US" w:eastAsia="zh-CN" w:bidi="ar"/>
        </w:rPr>
        <w:t>条</w:t>
      </w:r>
      <w:r>
        <w:rPr>
          <w:rFonts w:hint="eastAsia" w:ascii="黑体" w:hAnsi="黑体" w:eastAsia="黑体" w:cs="黑体"/>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0"/>
          <w:sz w:val="32"/>
          <w:szCs w:val="32"/>
          <w:highlight w:val="none"/>
          <w:lang w:val="en-US" w:eastAsia="zh-CN" w:bidi="ar"/>
        </w:rPr>
        <w:t>建立健全符合长期护理保险服务特点的支付机制和协商谈判机制，针对不同服务模式完善支付方式，加强基金结算管理。</w:t>
      </w:r>
    </w:p>
    <w:p w14:paraId="20E89AC1">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三十</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建立健全长期照护师培训</w:t>
      </w:r>
      <w:r>
        <w:rPr>
          <w:rFonts w:hint="eastAsia" w:ascii="Times New Roman" w:hAnsi="Times New Roman" w:eastAsia="仿宋_GB2312" w:cs="Times New Roman"/>
          <w:b w:val="0"/>
          <w:bCs w:val="0"/>
          <w:color w:val="auto"/>
          <w:kern w:val="0"/>
          <w:sz w:val="32"/>
          <w:szCs w:val="32"/>
          <w:highlight w:val="none"/>
          <w:lang w:val="en-US" w:eastAsia="zh-CN" w:bidi="ar"/>
        </w:rPr>
        <w:t>培养机制和失能等级评估人员规范化培训机制</w:t>
      </w:r>
      <w:r>
        <w:rPr>
          <w:rFonts w:hint="default" w:ascii="Times New Roman" w:hAnsi="Times New Roman" w:eastAsia="仿宋_GB2312" w:cs="Times New Roman"/>
          <w:b w:val="0"/>
          <w:bCs w:val="0"/>
          <w:color w:val="auto"/>
          <w:kern w:val="0"/>
          <w:sz w:val="32"/>
          <w:szCs w:val="32"/>
          <w:highlight w:val="none"/>
          <w:lang w:val="en-US" w:eastAsia="zh-CN" w:bidi="ar"/>
        </w:rPr>
        <w:t>，推动护理服务专业化、规范化发展。</w:t>
      </w:r>
    </w:p>
    <w:p w14:paraId="1E7E539A">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default"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w:t>
      </w:r>
      <w:r>
        <w:rPr>
          <w:rFonts w:hint="eastAsia" w:ascii="Times New Roman" w:hAnsi="Times New Roman" w:eastAsia="黑体" w:cs="Times New Roman"/>
          <w:b w:val="0"/>
          <w:bCs w:val="0"/>
          <w:color w:val="auto"/>
          <w:kern w:val="0"/>
          <w:sz w:val="32"/>
          <w:szCs w:val="32"/>
          <w:highlight w:val="none"/>
          <w:lang w:val="en-US" w:eastAsia="zh-CN" w:bidi="ar"/>
        </w:rPr>
        <w:t>六</w:t>
      </w:r>
      <w:r>
        <w:rPr>
          <w:rFonts w:hint="default" w:ascii="Times New Roman" w:hAnsi="Times New Roman" w:eastAsia="黑体" w:cs="Times New Roman"/>
          <w:b w:val="0"/>
          <w:bCs w:val="0"/>
          <w:color w:val="auto"/>
          <w:kern w:val="0"/>
          <w:sz w:val="32"/>
          <w:szCs w:val="32"/>
          <w:highlight w:val="none"/>
          <w:lang w:val="en-US" w:eastAsia="zh-CN" w:bidi="ar"/>
        </w:rPr>
        <w:t>章 基金管理与监督</w:t>
      </w:r>
    </w:p>
    <w:p w14:paraId="432E6983">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一</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0"/>
          <w:sz w:val="32"/>
          <w:szCs w:val="32"/>
          <w:highlight w:val="none"/>
          <w:lang w:val="en-US" w:eastAsia="zh-CN" w:bidi="ar"/>
        </w:rPr>
        <w:t>基金纳入社会保障基金财政专户单独管理，单独开设支出户、单独建账、单独计息、专款专用。加强预算绩效管理，健全基金预算管理制度。做好基金会计核算和统计分析。坚持以收定支、收支平衡，建立基金运行监控和风险防范机制，加强中长期精算分析。基金出现支付困难时，按规定及时调整筹资和待遇政策。</w:t>
      </w:r>
    </w:p>
    <w:p w14:paraId="1D49748C">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default" w:ascii="Times New Roman" w:hAnsi="Times New Roman" w:eastAsia="仿宋_GB2312" w:cs="Times New Roman"/>
          <w:b w:val="0"/>
          <w:bCs w:val="0"/>
          <w:color w:val="auto"/>
          <w:kern w:val="0"/>
          <w:sz w:val="32"/>
          <w:szCs w:val="32"/>
          <w:highlight w:val="none"/>
          <w:lang w:val="en-US" w:eastAsia="zh-CN" w:bidi="ar"/>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二</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0"/>
          <w:sz w:val="32"/>
          <w:szCs w:val="32"/>
          <w:highlight w:val="none"/>
          <w:lang w:val="en-US" w:eastAsia="zh-CN" w:bidi="ar"/>
        </w:rPr>
        <w:t>建立健全基金监管体系，完善欺诈骗保人员、机构惩戒机制，加强财会监督和审计监督，严肃财经纪律，确保基金安全。完善长期护理保险监管长效机制，逐步将长期护理保险基金使用情况纳入日常监管、智能监管、社会监督等常态化监管范围。坚决守住基金安全底线</w:t>
      </w:r>
      <w:r>
        <w:rPr>
          <w:rFonts w:hint="default" w:ascii="Times New Roman" w:hAnsi="Times New Roman" w:eastAsia="仿宋_GB2312" w:cs="Times New Roman"/>
          <w:b w:val="0"/>
          <w:bCs w:val="0"/>
          <w:color w:val="auto"/>
          <w:kern w:val="0"/>
          <w:sz w:val="32"/>
          <w:szCs w:val="32"/>
          <w:highlight w:val="none"/>
          <w:lang w:val="en-US" w:eastAsia="zh-CN" w:bidi="ar"/>
        </w:rPr>
        <w:t>。</w:t>
      </w:r>
    </w:p>
    <w:p w14:paraId="040DE014">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default"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w:t>
      </w:r>
      <w:r>
        <w:rPr>
          <w:rFonts w:hint="eastAsia" w:ascii="Times New Roman" w:hAnsi="Times New Roman" w:eastAsia="黑体" w:cs="Times New Roman"/>
          <w:b w:val="0"/>
          <w:bCs w:val="0"/>
          <w:color w:val="auto"/>
          <w:kern w:val="0"/>
          <w:sz w:val="32"/>
          <w:szCs w:val="32"/>
          <w:highlight w:val="none"/>
          <w:lang w:val="en-US" w:eastAsia="zh-CN" w:bidi="ar"/>
        </w:rPr>
        <w:t>七</w:t>
      </w:r>
      <w:r>
        <w:rPr>
          <w:rFonts w:hint="default" w:ascii="Times New Roman" w:hAnsi="Times New Roman" w:eastAsia="黑体" w:cs="Times New Roman"/>
          <w:b w:val="0"/>
          <w:bCs w:val="0"/>
          <w:color w:val="auto"/>
          <w:kern w:val="0"/>
          <w:sz w:val="32"/>
          <w:szCs w:val="32"/>
          <w:highlight w:val="none"/>
          <w:lang w:val="en-US" w:eastAsia="zh-CN" w:bidi="ar"/>
        </w:rPr>
        <w:t>章 经办服务</w:t>
      </w:r>
    </w:p>
    <w:p w14:paraId="3A22F582">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jc w:val="both"/>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w:t>
      </w:r>
      <w:bookmarkStart w:id="1" w:name="OLE_LINK2"/>
      <w:r>
        <w:rPr>
          <w:rFonts w:hint="eastAsia" w:ascii="Times New Roman" w:hAnsi="Times New Roman" w:eastAsia="仿宋_GB2312" w:cs="Times New Roman"/>
          <w:b w:val="0"/>
          <w:bCs w:val="0"/>
          <w:color w:val="auto"/>
          <w:kern w:val="2"/>
          <w:sz w:val="32"/>
          <w:szCs w:val="32"/>
          <w:lang w:val="en-US" w:eastAsia="zh-CN" w:bidi="ar-SA"/>
        </w:rPr>
        <w:t>加强长期护理保险经办能力建设，建立健全经办服务体系。</w:t>
      </w:r>
    </w:p>
    <w:p w14:paraId="17E3DF52">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jc w:val="both"/>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eastAsia="仿宋_GB2312" w:cs="Times New Roman"/>
          <w:b w:val="0"/>
          <w:bCs w:val="0"/>
          <w:color w:val="auto"/>
          <w:kern w:val="2"/>
          <w:sz w:val="32"/>
          <w:szCs w:val="32"/>
          <w:lang w:val="en-US" w:eastAsia="zh-CN" w:bidi="ar-SA"/>
        </w:rPr>
        <w:t>税务部门要做好保费征收工作，实现长期护理保险与基本医疗保险同步参保、同步缴费。</w:t>
      </w:r>
    </w:p>
    <w:p w14:paraId="1E9CC3B5">
      <w:pPr>
        <w:keepNext w:val="0"/>
        <w:keepLines w:val="0"/>
        <w:pageBreakBefore w:val="0"/>
        <w:widowControl w:val="0"/>
        <w:kinsoku/>
        <w:wordWrap/>
        <w:overflowPunct/>
        <w:topLinePunct/>
        <w:autoSpaceDE w:val="0"/>
        <w:autoSpaceDN/>
        <w:bidi w:val="0"/>
        <w:adjustRightInd/>
        <w:snapToGrid/>
        <w:spacing w:line="600" w:lineRule="exact"/>
        <w:ind w:left="0" w:leftChars="0" w:right="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四</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sz w:val="32"/>
          <w:szCs w:val="32"/>
          <w:lang w:val="en-US" w:eastAsia="zh-CN"/>
        </w:rPr>
        <w:t>完善社会力量参与经办管理服务机制，依法依规通过公开招标等竞争性方式有序规范引入社会力量参与经办管理服务，相关费用依协议约定参照当年筹资总额的4%从基金中支付。</w:t>
      </w:r>
    </w:p>
    <w:p w14:paraId="4BB40373">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五</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仿宋_GB2312" w:cs="Times New Roman"/>
          <w:b w:val="0"/>
          <w:bCs w:val="0"/>
          <w:color w:val="auto"/>
          <w:kern w:val="0"/>
          <w:sz w:val="32"/>
          <w:szCs w:val="32"/>
          <w:highlight w:val="none"/>
          <w:lang w:val="en-US" w:eastAsia="zh-CN" w:bidi="ar"/>
        </w:rPr>
        <w:t xml:space="preserve"> </w:t>
      </w:r>
      <w:r>
        <w:rPr>
          <w:rFonts w:hint="eastAsia" w:ascii="Times New Roman" w:hAnsi="Times New Roman" w:eastAsia="仿宋_GB2312" w:cs="Times New Roman"/>
          <w:b w:val="0"/>
          <w:bCs w:val="0"/>
          <w:color w:val="auto"/>
          <w:kern w:val="0"/>
          <w:sz w:val="32"/>
          <w:szCs w:val="32"/>
          <w:highlight w:val="none"/>
          <w:lang w:val="en-US" w:eastAsia="zh-CN" w:bidi="ar"/>
        </w:rPr>
        <w:t>按照全省统一部署，</w:t>
      </w:r>
      <w:r>
        <w:rPr>
          <w:rFonts w:hint="eastAsia" w:ascii="Times New Roman" w:hAnsi="Times New Roman" w:eastAsia="仿宋_GB2312" w:cs="Times New Roman"/>
          <w:b w:val="0"/>
          <w:bCs w:val="0"/>
          <w:color w:val="auto"/>
          <w:kern w:val="2"/>
          <w:sz w:val="32"/>
          <w:szCs w:val="32"/>
          <w:lang w:val="en-US" w:eastAsia="zh-CN" w:bidi="ar-SA"/>
        </w:rPr>
        <w:t>做好跨统筹地区长期护理保险关系转移接续工作，适时完善异地评估和异地享受待遇的规定。做好灵活就业人员、农民工、新就业形态人员参保缴费工作，确保其按规定享受待遇。</w:t>
      </w:r>
    </w:p>
    <w:bookmarkEnd w:id="1"/>
    <w:p w14:paraId="6F139593">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default"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w:t>
      </w:r>
      <w:r>
        <w:rPr>
          <w:rFonts w:hint="eastAsia" w:ascii="Times New Roman" w:hAnsi="Times New Roman" w:eastAsia="黑体" w:cs="Times New Roman"/>
          <w:b w:val="0"/>
          <w:bCs w:val="0"/>
          <w:color w:val="auto"/>
          <w:kern w:val="0"/>
          <w:sz w:val="32"/>
          <w:szCs w:val="32"/>
          <w:highlight w:val="none"/>
          <w:lang w:val="en-US" w:eastAsia="zh-CN" w:bidi="ar"/>
        </w:rPr>
        <w:t>八</w:t>
      </w:r>
      <w:r>
        <w:rPr>
          <w:rFonts w:hint="default" w:ascii="Times New Roman" w:hAnsi="Times New Roman" w:eastAsia="黑体" w:cs="Times New Roman"/>
          <w:b w:val="0"/>
          <w:bCs w:val="0"/>
          <w:color w:val="auto"/>
          <w:kern w:val="0"/>
          <w:sz w:val="32"/>
          <w:szCs w:val="32"/>
          <w:highlight w:val="none"/>
          <w:lang w:val="en-US" w:eastAsia="zh-CN" w:bidi="ar"/>
        </w:rPr>
        <w:t xml:space="preserve">章 </w:t>
      </w:r>
      <w:r>
        <w:rPr>
          <w:rFonts w:hint="eastAsia" w:ascii="Times New Roman" w:hAnsi="Times New Roman" w:eastAsia="黑体" w:cs="Times New Roman"/>
          <w:b w:val="0"/>
          <w:bCs w:val="0"/>
          <w:color w:val="auto"/>
          <w:kern w:val="0"/>
          <w:sz w:val="32"/>
          <w:szCs w:val="32"/>
          <w:highlight w:val="none"/>
          <w:lang w:val="en-US" w:eastAsia="zh-CN" w:bidi="ar"/>
        </w:rPr>
        <w:t>信息化建设</w:t>
      </w:r>
    </w:p>
    <w:p w14:paraId="4024560B">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Times New Roman" w:hAnsi="Times New Roman" w:eastAsia="仿宋_GB2312" w:cs="Times New Roman"/>
          <w:b w:val="0"/>
          <w:bCs w:val="0"/>
          <w:color w:val="auto"/>
          <w:kern w:val="2"/>
          <w:sz w:val="32"/>
          <w:szCs w:val="32"/>
          <w:lang w:val="en-US" w:eastAsia="zh-CN" w:bidi="ar-SA"/>
        </w:rPr>
      </w:pPr>
      <w:r>
        <w:rPr>
          <w:rFonts w:hint="eastAsia" w:ascii="黑体" w:hAnsi="黑体" w:eastAsia="黑体" w:cs="黑体"/>
          <w:b w:val="0"/>
          <w:bCs w:val="0"/>
          <w:color w:val="auto"/>
          <w:kern w:val="0"/>
          <w:sz w:val="32"/>
          <w:szCs w:val="32"/>
          <w:highlight w:val="none"/>
          <w:lang w:val="en-US" w:eastAsia="zh-CN" w:bidi="ar"/>
        </w:rPr>
        <w:t>第三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六条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bookmarkStart w:id="2" w:name="OLE_LINK4"/>
      <w:bookmarkStart w:id="3" w:name="OLE_LINK3"/>
      <w:r>
        <w:rPr>
          <w:rFonts w:hint="eastAsia" w:ascii="Times New Roman" w:hAnsi="Times New Roman" w:eastAsia="仿宋_GB2312" w:cs="Times New Roman"/>
          <w:b w:val="0"/>
          <w:bCs w:val="0"/>
          <w:color w:val="auto"/>
          <w:kern w:val="2"/>
          <w:sz w:val="32"/>
          <w:szCs w:val="32"/>
          <w:lang w:val="en-US" w:eastAsia="zh-CN" w:bidi="ar-SA"/>
        </w:rPr>
        <w:t>做好</w:t>
      </w:r>
      <w:bookmarkEnd w:id="2"/>
      <w:r>
        <w:rPr>
          <w:rFonts w:hint="eastAsia" w:ascii="Times New Roman" w:hAnsi="Times New Roman" w:eastAsia="仿宋_GB2312" w:cs="Times New Roman"/>
          <w:b w:val="0"/>
          <w:bCs w:val="0"/>
          <w:color w:val="auto"/>
          <w:kern w:val="2"/>
          <w:sz w:val="32"/>
          <w:szCs w:val="32"/>
          <w:lang w:val="en-US" w:eastAsia="zh-CN" w:bidi="ar-SA"/>
        </w:rPr>
        <w:t>全国统一的长期护理保险子系统落地应用，推进长期护理保险待遇享受人“一人一档”电子档案建设，实现精准管理和服务。</w:t>
      </w:r>
    </w:p>
    <w:p w14:paraId="6139337D">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七</w:t>
      </w:r>
      <w:r>
        <w:rPr>
          <w:rFonts w:hint="default" w:ascii="黑体" w:hAnsi="黑体" w:eastAsia="黑体" w:cs="黑体"/>
          <w:b w:val="0"/>
          <w:bCs w:val="0"/>
          <w:color w:val="auto"/>
          <w:kern w:val="0"/>
          <w:sz w:val="32"/>
          <w:szCs w:val="32"/>
          <w:highlight w:val="none"/>
          <w:lang w:val="en-US" w:eastAsia="zh-CN" w:bidi="ar"/>
        </w:rPr>
        <w:t>条</w:t>
      </w:r>
      <w:r>
        <w:rPr>
          <w:rFonts w:hint="eastAsia" w:ascii="Times New Roman" w:hAnsi="Times New Roman" w:eastAsia="楷体_GB2312" w:cs="Times New Roman"/>
          <w:b w:val="0"/>
          <w:bCs w:val="0"/>
          <w:color w:val="auto"/>
          <w:kern w:val="0"/>
          <w:sz w:val="32"/>
          <w:szCs w:val="32"/>
          <w:highlight w:val="none"/>
          <w:lang w:val="en-US" w:eastAsia="zh-CN" w:bidi="ar"/>
        </w:rPr>
        <w:t xml:space="preserve"> </w:t>
      </w:r>
      <w:r>
        <w:rPr>
          <w:rFonts w:hint="default" w:ascii="Times New Roman" w:hAnsi="Times New Roman" w:eastAsia="仿宋_GB2312" w:cs="Times New Roman"/>
          <w:b w:val="0"/>
          <w:bCs w:val="0"/>
          <w:color w:val="auto"/>
          <w:kern w:val="2"/>
          <w:sz w:val="32"/>
          <w:szCs w:val="32"/>
          <w:lang w:val="en-US" w:eastAsia="zh-CN" w:bidi="ar-SA"/>
        </w:rPr>
        <w:t>推进长期护理保险标准化建设，</w:t>
      </w:r>
      <w:r>
        <w:rPr>
          <w:rFonts w:hint="eastAsia" w:ascii="Times New Roman" w:hAnsi="Times New Roman" w:eastAsia="仿宋_GB2312" w:cs="Times New Roman"/>
          <w:b w:val="0"/>
          <w:bCs w:val="0"/>
          <w:color w:val="auto"/>
          <w:kern w:val="2"/>
          <w:sz w:val="32"/>
          <w:szCs w:val="32"/>
          <w:lang w:val="en-US" w:eastAsia="zh-CN" w:bidi="ar-SA"/>
        </w:rPr>
        <w:t>执行</w:t>
      </w:r>
      <w:r>
        <w:rPr>
          <w:rFonts w:hint="default" w:ascii="Times New Roman" w:hAnsi="Times New Roman" w:eastAsia="仿宋_GB2312" w:cs="Times New Roman"/>
          <w:b w:val="0"/>
          <w:bCs w:val="0"/>
          <w:color w:val="auto"/>
          <w:kern w:val="2"/>
          <w:sz w:val="32"/>
          <w:szCs w:val="32"/>
          <w:lang w:val="en-US" w:eastAsia="zh-CN" w:bidi="ar-SA"/>
        </w:rPr>
        <w:t>覆盖失能评估、服务提供、质量评价、经办管理等方面的专业技术标准体系</w:t>
      </w:r>
      <w:r>
        <w:rPr>
          <w:rFonts w:hint="eastAsia" w:ascii="Times New Roman" w:hAnsi="Times New Roman" w:eastAsia="仿宋_GB2312" w:cs="Times New Roman"/>
          <w:b w:val="0"/>
          <w:bCs w:val="0"/>
          <w:color w:val="auto"/>
          <w:kern w:val="2"/>
          <w:sz w:val="32"/>
          <w:szCs w:val="32"/>
          <w:lang w:val="en-US" w:eastAsia="zh-CN" w:bidi="ar-SA"/>
        </w:rPr>
        <w:t>，建立本地</w:t>
      </w:r>
      <w:r>
        <w:rPr>
          <w:rFonts w:hint="default" w:ascii="Times New Roman" w:hAnsi="Times New Roman" w:eastAsia="仿宋_GB2312" w:cs="Times New Roman"/>
          <w:b w:val="0"/>
          <w:bCs w:val="0"/>
          <w:color w:val="auto"/>
          <w:kern w:val="2"/>
          <w:sz w:val="32"/>
          <w:szCs w:val="32"/>
          <w:lang w:val="en-US" w:eastAsia="zh-CN" w:bidi="ar-SA"/>
        </w:rPr>
        <w:t>专家库，促进制度规范运行和可持续发展。</w:t>
      </w:r>
    </w:p>
    <w:bookmarkEnd w:id="3"/>
    <w:p w14:paraId="709BA09B">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jc w:val="center"/>
        <w:textAlignment w:val="auto"/>
        <w:rPr>
          <w:rFonts w:hint="default" w:ascii="Times New Roman" w:hAnsi="Times New Roman" w:eastAsia="黑体" w:cs="Times New Roman"/>
          <w:b w:val="0"/>
          <w:bCs w:val="0"/>
          <w:color w:val="auto"/>
          <w:kern w:val="0"/>
          <w:sz w:val="32"/>
          <w:szCs w:val="32"/>
          <w:highlight w:val="none"/>
          <w:lang w:val="en-US" w:eastAsia="zh-CN" w:bidi="ar"/>
        </w:rPr>
      </w:pPr>
      <w:r>
        <w:rPr>
          <w:rFonts w:hint="default" w:ascii="Times New Roman" w:hAnsi="Times New Roman" w:eastAsia="黑体" w:cs="Times New Roman"/>
          <w:b w:val="0"/>
          <w:bCs w:val="0"/>
          <w:color w:val="auto"/>
          <w:kern w:val="0"/>
          <w:sz w:val="32"/>
          <w:szCs w:val="32"/>
          <w:highlight w:val="none"/>
          <w:lang w:val="en-US" w:eastAsia="zh-CN" w:bidi="ar"/>
        </w:rPr>
        <w:t>第九章 附则</w:t>
      </w:r>
    </w:p>
    <w:p w14:paraId="5ABA66EF">
      <w:pPr>
        <w:keepNext w:val="0"/>
        <w:keepLines w:val="0"/>
        <w:pageBreakBefore w:val="0"/>
        <w:widowControl w:val="0"/>
        <w:kinsoku/>
        <w:wordWrap/>
        <w:overflowPunct/>
        <w:topLinePunct/>
        <w:autoSpaceDE w:val="0"/>
        <w:autoSpaceDN/>
        <w:bidi w:val="0"/>
        <w:adjustRightInd/>
        <w:snapToGrid/>
        <w:spacing w:line="600" w:lineRule="exact"/>
        <w:ind w:left="0" w:leftChars="0" w:right="0" w:firstLine="640" w:firstLineChars="200"/>
        <w:jc w:val="both"/>
        <w:textAlignment w:val="auto"/>
        <w:rPr>
          <w:rFonts w:hint="default" w:ascii="Times New Roman" w:hAnsi="Times New Roman" w:eastAsia="仿宋_GB2312" w:cs="Times New Roman"/>
          <w:b w:val="0"/>
          <w:bCs w:val="0"/>
          <w:color w:val="auto"/>
          <w:sz w:val="32"/>
          <w:szCs w:val="32"/>
        </w:rPr>
      </w:pPr>
      <w:r>
        <w:rPr>
          <w:rFonts w:hint="default" w:ascii="黑体" w:hAnsi="黑体" w:eastAsia="黑体" w:cs="黑体"/>
          <w:b w:val="0"/>
          <w:bCs w:val="0"/>
          <w:color w:val="auto"/>
          <w:kern w:val="0"/>
          <w:sz w:val="32"/>
          <w:szCs w:val="32"/>
          <w:highlight w:val="none"/>
          <w:lang w:val="en-US" w:eastAsia="zh-CN" w:bidi="ar"/>
        </w:rPr>
        <w:t>第</w:t>
      </w:r>
      <w:r>
        <w:rPr>
          <w:rFonts w:hint="eastAsia" w:ascii="黑体" w:hAnsi="黑体" w:eastAsia="黑体" w:cs="黑体"/>
          <w:b w:val="0"/>
          <w:bCs w:val="0"/>
          <w:color w:val="auto"/>
          <w:kern w:val="0"/>
          <w:sz w:val="32"/>
          <w:szCs w:val="32"/>
          <w:highlight w:val="none"/>
          <w:lang w:val="en-US" w:eastAsia="zh-CN" w:bidi="ar"/>
        </w:rPr>
        <w:t>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八</w:t>
      </w:r>
      <w:r>
        <w:rPr>
          <w:rFonts w:hint="default" w:ascii="黑体" w:hAnsi="黑体" w:eastAsia="黑体" w:cs="黑体"/>
          <w:b w:val="0"/>
          <w:bCs w:val="0"/>
          <w:color w:val="auto"/>
          <w:kern w:val="0"/>
          <w:sz w:val="32"/>
          <w:szCs w:val="32"/>
          <w:highlight w:val="none"/>
          <w:lang w:val="en-US" w:eastAsia="zh-CN" w:bidi="ar"/>
        </w:rPr>
        <w:t>条</w:t>
      </w:r>
      <w:r>
        <w:rPr>
          <w:rFonts w:hint="default" w:ascii="Times New Roman" w:hAnsi="Times New Roman" w:eastAsia="楷体_GB2312" w:cs="Times New Roman"/>
          <w:b w:val="0"/>
          <w:bCs w:val="0"/>
          <w:color w:val="auto"/>
          <w:kern w:val="0"/>
          <w:sz w:val="32"/>
          <w:szCs w:val="32"/>
          <w:highlight w:val="none"/>
          <w:lang w:val="en-US" w:eastAsia="zh-CN" w:bidi="ar"/>
        </w:rPr>
        <w:t xml:space="preserve"> </w:t>
      </w:r>
      <w:r>
        <w:rPr>
          <w:rFonts w:hint="default" w:ascii="Times New Roman" w:hAnsi="Times New Roman" w:eastAsia="仿宋_GB2312" w:cs="Times New Roman"/>
          <w:b w:val="0"/>
          <w:bCs w:val="0"/>
          <w:color w:val="auto"/>
          <w:sz w:val="32"/>
          <w:szCs w:val="32"/>
        </w:rPr>
        <w:t>本</w:t>
      </w:r>
      <w:r>
        <w:rPr>
          <w:rFonts w:hint="eastAsia" w:ascii="Times New Roman" w:hAnsi="Times New Roman" w:eastAsia="仿宋_GB2312" w:cs="Times New Roman"/>
          <w:b w:val="0"/>
          <w:bCs w:val="0"/>
          <w:color w:val="auto"/>
          <w:sz w:val="32"/>
          <w:szCs w:val="32"/>
          <w:lang w:val="en-US" w:eastAsia="zh-CN"/>
        </w:rPr>
        <w:t>办法</w:t>
      </w:r>
      <w:r>
        <w:rPr>
          <w:rFonts w:hint="default" w:ascii="Times New Roman" w:hAnsi="Times New Roman" w:eastAsia="仿宋_GB2312" w:cs="Times New Roman"/>
          <w:b w:val="0"/>
          <w:bCs w:val="0"/>
          <w:color w:val="auto"/>
          <w:sz w:val="32"/>
          <w:szCs w:val="32"/>
        </w:rPr>
        <w:t>由市医疗保障局负责解释，并根据国家、省有关政策及长期护理保险试点推进情况会同有关部门适时调整。</w:t>
      </w:r>
    </w:p>
    <w:p w14:paraId="7C9F002C">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640" w:firstLineChars="200"/>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黑体" w:hAnsi="黑体" w:eastAsia="黑体" w:cs="黑体"/>
          <w:b w:val="0"/>
          <w:bCs w:val="0"/>
          <w:color w:val="auto"/>
          <w:kern w:val="0"/>
          <w:sz w:val="32"/>
          <w:szCs w:val="32"/>
          <w:highlight w:val="none"/>
          <w:lang w:val="en-US" w:eastAsia="zh-CN" w:bidi="ar"/>
        </w:rPr>
        <w:t>第三</w:t>
      </w:r>
      <w:r>
        <w:rPr>
          <w:rFonts w:hint="default" w:ascii="黑体" w:hAnsi="黑体" w:eastAsia="黑体" w:cs="黑体"/>
          <w:b w:val="0"/>
          <w:bCs w:val="0"/>
          <w:color w:val="auto"/>
          <w:kern w:val="0"/>
          <w:sz w:val="32"/>
          <w:szCs w:val="32"/>
          <w:highlight w:val="none"/>
          <w:lang w:val="en-US" w:eastAsia="zh-CN" w:bidi="ar"/>
        </w:rPr>
        <w:t>十</w:t>
      </w:r>
      <w:r>
        <w:rPr>
          <w:rFonts w:hint="eastAsia" w:ascii="黑体" w:hAnsi="黑体" w:eastAsia="黑体" w:cs="黑体"/>
          <w:b w:val="0"/>
          <w:bCs w:val="0"/>
          <w:color w:val="auto"/>
          <w:kern w:val="0"/>
          <w:sz w:val="32"/>
          <w:szCs w:val="32"/>
          <w:highlight w:val="none"/>
          <w:lang w:val="en-US" w:eastAsia="zh-CN" w:bidi="ar"/>
        </w:rPr>
        <w:t>九条</w:t>
      </w:r>
      <w:r>
        <w:rPr>
          <w:rFonts w:hint="default" w:ascii="Times New Roman" w:hAnsi="Times New Roman" w:eastAsia="楷体_GB2312" w:cs="Times New Roman"/>
          <w:b w:val="0"/>
          <w:bCs w:val="0"/>
          <w:color w:val="auto"/>
          <w:kern w:val="0"/>
          <w:sz w:val="32"/>
          <w:szCs w:val="32"/>
          <w:highlight w:val="none"/>
          <w:lang w:val="en-US" w:eastAsia="zh-CN" w:bidi="ar"/>
        </w:rPr>
        <w:t xml:space="preserve"> </w:t>
      </w:r>
      <w:r>
        <w:rPr>
          <w:rFonts w:hint="eastAsia" w:ascii="仿宋_GB2312" w:hAnsi="仿宋_GB2312" w:eastAsia="仿宋_GB2312" w:cs="仿宋_GB2312"/>
          <w:b w:val="0"/>
          <w:bCs w:val="0"/>
          <w:color w:val="auto"/>
          <w:kern w:val="0"/>
          <w:sz w:val="32"/>
          <w:szCs w:val="32"/>
          <w:highlight w:val="none"/>
          <w:lang w:val="en-US" w:eastAsia="zh-CN" w:bidi="ar"/>
        </w:rPr>
        <w:t>本办法自2026年XX月XX日起试行，国家、省有新规定的，从其规定。</w:t>
      </w:r>
    </w:p>
    <w:p w14:paraId="7BA5FC14">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textAlignment w:val="auto"/>
        <w:rPr>
          <w:rFonts w:hint="default" w:ascii="Times New Roman" w:hAnsi="Times New Roman" w:cs="Times New Roman"/>
          <w:b w:val="0"/>
          <w:bCs w:val="0"/>
          <w:color w:val="auto"/>
          <w:lang w:val="en-US" w:eastAsia="zh-CN"/>
        </w:rPr>
      </w:pPr>
    </w:p>
    <w:p w14:paraId="6C3BFE9B">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textAlignment w:val="auto"/>
        <w:rPr>
          <w:rFonts w:hint="default" w:ascii="Times New Roman" w:hAnsi="Times New Roman" w:cs="Times New Roman"/>
          <w:b w:val="0"/>
          <w:bCs w:val="0"/>
          <w:color w:val="auto"/>
          <w:lang w:val="en-US" w:eastAsia="zh-CN"/>
        </w:rPr>
      </w:pPr>
    </w:p>
    <w:p w14:paraId="55AAF69A">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textAlignment w:val="auto"/>
        <w:rPr>
          <w:rFonts w:hint="default" w:ascii="Times New Roman" w:hAnsi="Times New Roman" w:cs="Times New Roman"/>
          <w:b w:val="0"/>
          <w:bCs w:val="0"/>
          <w:color w:val="auto"/>
          <w:lang w:val="en-US" w:eastAsia="zh-CN"/>
        </w:rPr>
      </w:pPr>
    </w:p>
    <w:p w14:paraId="2712DF5C">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textAlignment w:val="auto"/>
        <w:rPr>
          <w:rFonts w:hint="default" w:ascii="Times New Roman" w:hAnsi="Times New Roman" w:cs="Times New Roman"/>
          <w:b w:val="0"/>
          <w:bCs w:val="0"/>
          <w:color w:val="auto"/>
          <w:lang w:val="en-US" w:eastAsia="zh-CN"/>
        </w:rPr>
      </w:pPr>
    </w:p>
    <w:p w14:paraId="7C30ED49">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textAlignment w:val="auto"/>
        <w:rPr>
          <w:rFonts w:hint="default" w:ascii="Times New Roman" w:hAnsi="Times New Roman" w:cs="Times New Roman"/>
          <w:b w:val="0"/>
          <w:bCs w:val="0"/>
          <w:color w:val="auto"/>
          <w:lang w:val="en-US" w:eastAsia="zh-CN"/>
        </w:rPr>
      </w:pPr>
    </w:p>
    <w:p w14:paraId="5F1CDAD9">
      <w:pPr>
        <w:keepNext w:val="0"/>
        <w:keepLines w:val="0"/>
        <w:pageBreakBefore w:val="0"/>
        <w:widowControl w:val="0"/>
        <w:suppressLineNumbers w:val="0"/>
        <w:kinsoku/>
        <w:wordWrap/>
        <w:overflowPunct/>
        <w:topLinePunct/>
        <w:autoSpaceDE w:val="0"/>
        <w:autoSpaceDN/>
        <w:bidi w:val="0"/>
        <w:adjustRightInd/>
        <w:snapToGrid/>
        <w:spacing w:beforeAutospacing="0" w:afterAutospacing="0" w:line="600" w:lineRule="exact"/>
        <w:ind w:left="0" w:leftChars="0"/>
        <w:jc w:val="center"/>
        <w:textAlignment w:val="auto"/>
        <w:rPr>
          <w:rFonts w:hint="default" w:ascii="Times New Roman" w:hAnsi="Times New Roman" w:eastAsia="方正小标宋_GBK" w:cs="Times New Roman"/>
          <w:b w:val="0"/>
          <w:bCs w:val="0"/>
          <w:color w:val="auto"/>
          <w:kern w:val="0"/>
          <w:sz w:val="44"/>
          <w:szCs w:val="44"/>
          <w:highlight w:val="none"/>
          <w:lang w:val="en-US" w:eastAsia="zh-CN" w:bidi="ar"/>
        </w:rPr>
      </w:pPr>
    </w:p>
    <w:p w14:paraId="52055EA8">
      <w:pPr>
        <w:keepNext w:val="0"/>
        <w:keepLines w:val="0"/>
        <w:pageBreakBefore w:val="0"/>
        <w:widowControl w:val="0"/>
        <w:suppressLineNumbers w:val="0"/>
        <w:kinsoku/>
        <w:wordWrap/>
        <w:overflowPunct/>
        <w:topLinePunct/>
        <w:autoSpaceDE w:val="0"/>
        <w:autoSpaceDN/>
        <w:bidi w:val="0"/>
        <w:adjustRightInd/>
        <w:snapToGrid/>
        <w:spacing w:beforeAutospacing="0" w:afterAutospacing="0" w:line="600" w:lineRule="exact"/>
        <w:ind w:left="0" w:leftChars="0"/>
        <w:jc w:val="center"/>
        <w:textAlignment w:val="auto"/>
        <w:rPr>
          <w:rFonts w:hint="default" w:ascii="Times New Roman" w:hAnsi="Times New Roman" w:eastAsia="方正小标宋_GBK" w:cs="Times New Roman"/>
          <w:b w:val="0"/>
          <w:bCs w:val="0"/>
          <w:color w:val="auto"/>
          <w:kern w:val="0"/>
          <w:sz w:val="44"/>
          <w:szCs w:val="44"/>
          <w:highlight w:val="none"/>
          <w:lang w:val="en-US" w:eastAsia="zh-CN" w:bidi="ar"/>
        </w:rPr>
      </w:pPr>
    </w:p>
    <w:p w14:paraId="24946CD3">
      <w:pPr>
        <w:keepNext w:val="0"/>
        <w:keepLines w:val="0"/>
        <w:pageBreakBefore w:val="0"/>
        <w:widowControl w:val="0"/>
        <w:suppressLineNumbers w:val="0"/>
        <w:kinsoku/>
        <w:wordWrap/>
        <w:overflowPunct/>
        <w:topLinePunct/>
        <w:autoSpaceDE w:val="0"/>
        <w:autoSpaceDN/>
        <w:bidi w:val="0"/>
        <w:adjustRightInd/>
        <w:snapToGrid/>
        <w:spacing w:beforeAutospacing="0" w:afterAutospacing="0" w:line="600" w:lineRule="exact"/>
        <w:ind w:left="0" w:leftChars="0"/>
        <w:jc w:val="center"/>
        <w:textAlignment w:val="auto"/>
        <w:rPr>
          <w:rFonts w:hint="default" w:ascii="Times New Roman" w:hAnsi="Times New Roman" w:eastAsia="方正小标宋_GBK" w:cs="Times New Roman"/>
          <w:b w:val="0"/>
          <w:bCs w:val="0"/>
          <w:color w:val="auto"/>
          <w:kern w:val="0"/>
          <w:sz w:val="44"/>
          <w:szCs w:val="44"/>
          <w:highlight w:val="none"/>
          <w:lang w:val="en-US" w:eastAsia="zh-CN" w:bidi="ar"/>
        </w:rPr>
      </w:pPr>
    </w:p>
    <w:p w14:paraId="4CFDA0FC">
      <w:pPr>
        <w:keepNext w:val="0"/>
        <w:keepLines w:val="0"/>
        <w:pageBreakBefore w:val="0"/>
        <w:widowControl w:val="0"/>
        <w:suppressLineNumbers w:val="0"/>
        <w:kinsoku/>
        <w:wordWrap/>
        <w:overflowPunct/>
        <w:topLinePunct/>
        <w:autoSpaceDE w:val="0"/>
        <w:autoSpaceDN/>
        <w:bidi w:val="0"/>
        <w:adjustRightInd/>
        <w:snapToGrid/>
        <w:spacing w:beforeAutospacing="0" w:afterAutospacing="0" w:line="600" w:lineRule="exact"/>
        <w:ind w:left="0" w:leftChars="0"/>
        <w:jc w:val="center"/>
        <w:textAlignment w:val="auto"/>
        <w:rPr>
          <w:rFonts w:hint="default" w:ascii="Times New Roman" w:hAnsi="Times New Roman" w:eastAsia="方正小标宋_GBK" w:cs="Times New Roman"/>
          <w:b w:val="0"/>
          <w:bCs w:val="0"/>
          <w:color w:val="auto"/>
          <w:kern w:val="0"/>
          <w:sz w:val="44"/>
          <w:szCs w:val="44"/>
          <w:highlight w:val="none"/>
          <w:lang w:val="en-US" w:eastAsia="zh-CN" w:bidi="ar"/>
        </w:rPr>
      </w:pPr>
    </w:p>
    <w:p w14:paraId="564E33E6">
      <w:pPr>
        <w:keepNext w:val="0"/>
        <w:keepLines w:val="0"/>
        <w:pageBreakBefore w:val="0"/>
        <w:widowControl w:val="0"/>
        <w:suppressLineNumbers w:val="0"/>
        <w:kinsoku/>
        <w:wordWrap/>
        <w:overflowPunct/>
        <w:topLinePunct/>
        <w:autoSpaceDE w:val="0"/>
        <w:autoSpaceDN/>
        <w:bidi w:val="0"/>
        <w:adjustRightInd/>
        <w:snapToGrid/>
        <w:spacing w:beforeAutospacing="0" w:afterAutospacing="0" w:line="600" w:lineRule="exact"/>
        <w:ind w:left="0" w:leftChars="0"/>
        <w:jc w:val="center"/>
        <w:textAlignment w:val="auto"/>
        <w:rPr>
          <w:rFonts w:hint="default" w:ascii="Times New Roman" w:hAnsi="Times New Roman" w:eastAsia="方正小标宋_GBK" w:cs="Times New Roman"/>
          <w:b w:val="0"/>
          <w:bCs w:val="0"/>
          <w:color w:val="auto"/>
          <w:kern w:val="0"/>
          <w:sz w:val="44"/>
          <w:szCs w:val="44"/>
          <w:highlight w:val="none"/>
          <w:lang w:val="en-US" w:eastAsia="zh-CN" w:bidi="ar"/>
        </w:rPr>
      </w:pPr>
    </w:p>
    <w:p w14:paraId="54D1C403">
      <w:pPr>
        <w:keepNext w:val="0"/>
        <w:keepLines w:val="0"/>
        <w:pageBreakBefore w:val="0"/>
        <w:widowControl w:val="0"/>
        <w:suppressLineNumbers w:val="0"/>
        <w:kinsoku/>
        <w:wordWrap/>
        <w:overflowPunct/>
        <w:topLinePunct/>
        <w:autoSpaceDE w:val="0"/>
        <w:autoSpaceDN/>
        <w:bidi w:val="0"/>
        <w:adjustRightInd/>
        <w:snapToGrid/>
        <w:spacing w:beforeAutospacing="0" w:afterAutospacing="0" w:line="600" w:lineRule="exact"/>
        <w:ind w:left="0" w:leftChars="0"/>
        <w:jc w:val="center"/>
        <w:textAlignment w:val="auto"/>
        <w:rPr>
          <w:rFonts w:hint="default" w:ascii="Times New Roman" w:hAnsi="Times New Roman" w:eastAsia="方正小标宋_GBK" w:cs="Times New Roman"/>
          <w:b w:val="0"/>
          <w:bCs w:val="0"/>
          <w:color w:val="auto"/>
          <w:kern w:val="0"/>
          <w:sz w:val="44"/>
          <w:szCs w:val="44"/>
          <w:highlight w:val="none"/>
          <w:lang w:val="en-US" w:eastAsia="zh-CN" w:bidi="ar"/>
        </w:rPr>
      </w:pPr>
    </w:p>
    <w:p w14:paraId="7A1F4359">
      <w:pPr>
        <w:pStyle w:val="10"/>
        <w:keepNext w:val="0"/>
        <w:keepLines w:val="0"/>
        <w:pageBreakBefore w:val="0"/>
        <w:widowControl w:val="0"/>
        <w:kinsoku/>
        <w:wordWrap/>
        <w:overflowPunct/>
        <w:topLinePunct/>
        <w:autoSpaceDE w:val="0"/>
        <w:autoSpaceDN/>
        <w:bidi w:val="0"/>
        <w:adjustRightInd/>
        <w:snapToGrid/>
        <w:spacing w:before="0" w:line="600" w:lineRule="exact"/>
        <w:ind w:left="0" w:leftChars="0" w:firstLine="0" w:firstLineChars="0"/>
        <w:textAlignment w:val="auto"/>
        <w:rPr>
          <w:rFonts w:hint="default" w:ascii="Times New Roman" w:hAnsi="Times New Roman" w:cs="Times New Roman"/>
          <w:b w:val="0"/>
          <w:bCs w:val="0"/>
          <w:color w:val="auto"/>
          <w:lang w:val="en-US" w:eastAsia="zh-CN"/>
        </w:rPr>
      </w:pPr>
      <w:bookmarkStart w:id="4" w:name="_GoBack"/>
      <w:bookmarkEnd w:id="4"/>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95B57">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5988F8">
                          <w:pPr>
                            <w:pStyle w:val="7"/>
                            <w:rPr>
                              <w:rFonts w:hint="default"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95988F8">
                    <w:pPr>
                      <w:pStyle w:val="7"/>
                      <w:rPr>
                        <w:rFonts w:hint="default"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wMTQyMjFmZDgxNzc4N2RkZmFmY2RkNDljM2NhYzkifQ=="/>
  </w:docVars>
  <w:rsids>
    <w:rsidRoot w:val="00000000"/>
    <w:rsid w:val="008A3F1D"/>
    <w:rsid w:val="010D6029"/>
    <w:rsid w:val="01B446F6"/>
    <w:rsid w:val="020B5D15"/>
    <w:rsid w:val="03C26EDF"/>
    <w:rsid w:val="03D43768"/>
    <w:rsid w:val="0493234F"/>
    <w:rsid w:val="04C335CE"/>
    <w:rsid w:val="059A3C03"/>
    <w:rsid w:val="063B346D"/>
    <w:rsid w:val="06782196"/>
    <w:rsid w:val="07A70F85"/>
    <w:rsid w:val="07FC2953"/>
    <w:rsid w:val="081005F1"/>
    <w:rsid w:val="08251989"/>
    <w:rsid w:val="083B347B"/>
    <w:rsid w:val="083D3697"/>
    <w:rsid w:val="084542FA"/>
    <w:rsid w:val="084E1401"/>
    <w:rsid w:val="089E1B4B"/>
    <w:rsid w:val="091837BC"/>
    <w:rsid w:val="0AB14EE0"/>
    <w:rsid w:val="0AC91212"/>
    <w:rsid w:val="0AC92FC0"/>
    <w:rsid w:val="0AE222D4"/>
    <w:rsid w:val="0BC33EB3"/>
    <w:rsid w:val="0C790A16"/>
    <w:rsid w:val="0CA75583"/>
    <w:rsid w:val="0DCB704F"/>
    <w:rsid w:val="0E4F5ED2"/>
    <w:rsid w:val="0E910299"/>
    <w:rsid w:val="10036F74"/>
    <w:rsid w:val="118B7221"/>
    <w:rsid w:val="119765AC"/>
    <w:rsid w:val="11F97485"/>
    <w:rsid w:val="12282CC2"/>
    <w:rsid w:val="13850D55"/>
    <w:rsid w:val="13C7475D"/>
    <w:rsid w:val="142B0848"/>
    <w:rsid w:val="142E09DC"/>
    <w:rsid w:val="14777F31"/>
    <w:rsid w:val="153E767C"/>
    <w:rsid w:val="156376BD"/>
    <w:rsid w:val="161C2B3E"/>
    <w:rsid w:val="165319B5"/>
    <w:rsid w:val="16F2389F"/>
    <w:rsid w:val="17650515"/>
    <w:rsid w:val="178646ED"/>
    <w:rsid w:val="17920BDE"/>
    <w:rsid w:val="192F2E54"/>
    <w:rsid w:val="1936105D"/>
    <w:rsid w:val="19C6652A"/>
    <w:rsid w:val="19FA5149"/>
    <w:rsid w:val="1AA85F2F"/>
    <w:rsid w:val="1AC35C7E"/>
    <w:rsid w:val="1B99078D"/>
    <w:rsid w:val="1BD96DDB"/>
    <w:rsid w:val="1C142509"/>
    <w:rsid w:val="1C24274C"/>
    <w:rsid w:val="1CFE23A9"/>
    <w:rsid w:val="1D3B590A"/>
    <w:rsid w:val="1D682B0D"/>
    <w:rsid w:val="1DCB4E4A"/>
    <w:rsid w:val="1DD71A40"/>
    <w:rsid w:val="1DDC7EED"/>
    <w:rsid w:val="1F0E3240"/>
    <w:rsid w:val="1F332CA6"/>
    <w:rsid w:val="1F572E39"/>
    <w:rsid w:val="1FE76202"/>
    <w:rsid w:val="205E47E3"/>
    <w:rsid w:val="20B411F1"/>
    <w:rsid w:val="220D5A31"/>
    <w:rsid w:val="222E1BDD"/>
    <w:rsid w:val="224D407F"/>
    <w:rsid w:val="23024E6A"/>
    <w:rsid w:val="235F050E"/>
    <w:rsid w:val="237F295E"/>
    <w:rsid w:val="238E2BA1"/>
    <w:rsid w:val="241E5CD3"/>
    <w:rsid w:val="24E862E1"/>
    <w:rsid w:val="24FD7FDE"/>
    <w:rsid w:val="25657932"/>
    <w:rsid w:val="259A582D"/>
    <w:rsid w:val="26464141"/>
    <w:rsid w:val="265359DC"/>
    <w:rsid w:val="266D2F42"/>
    <w:rsid w:val="26DC3C24"/>
    <w:rsid w:val="26DE799C"/>
    <w:rsid w:val="26F1147D"/>
    <w:rsid w:val="27325B22"/>
    <w:rsid w:val="27C529F4"/>
    <w:rsid w:val="27E70AD2"/>
    <w:rsid w:val="2874680A"/>
    <w:rsid w:val="287A1946"/>
    <w:rsid w:val="29AF7F4F"/>
    <w:rsid w:val="29B6E1B0"/>
    <w:rsid w:val="2A092F82"/>
    <w:rsid w:val="2A25310B"/>
    <w:rsid w:val="2A6B7798"/>
    <w:rsid w:val="2B4F2A2C"/>
    <w:rsid w:val="2B577D1D"/>
    <w:rsid w:val="2B77682E"/>
    <w:rsid w:val="2D2E3032"/>
    <w:rsid w:val="2D564730"/>
    <w:rsid w:val="2E627104"/>
    <w:rsid w:val="2E911E65"/>
    <w:rsid w:val="2ED65C4F"/>
    <w:rsid w:val="2EEA2824"/>
    <w:rsid w:val="3025488D"/>
    <w:rsid w:val="312B522A"/>
    <w:rsid w:val="31AF0B33"/>
    <w:rsid w:val="31BE4652"/>
    <w:rsid w:val="31D64091"/>
    <w:rsid w:val="33230261"/>
    <w:rsid w:val="33732E68"/>
    <w:rsid w:val="339D78D3"/>
    <w:rsid w:val="33C0308E"/>
    <w:rsid w:val="340824FC"/>
    <w:rsid w:val="34AA43ED"/>
    <w:rsid w:val="34EE7BB1"/>
    <w:rsid w:val="352D221A"/>
    <w:rsid w:val="355552CD"/>
    <w:rsid w:val="35A61FCC"/>
    <w:rsid w:val="35E63AB2"/>
    <w:rsid w:val="378105FB"/>
    <w:rsid w:val="37BC1633"/>
    <w:rsid w:val="37F05781"/>
    <w:rsid w:val="382A0C93"/>
    <w:rsid w:val="38481119"/>
    <w:rsid w:val="38D86941"/>
    <w:rsid w:val="39191EED"/>
    <w:rsid w:val="39436C4C"/>
    <w:rsid w:val="3A79380C"/>
    <w:rsid w:val="3AF17846"/>
    <w:rsid w:val="3AF66CA7"/>
    <w:rsid w:val="3B385475"/>
    <w:rsid w:val="3BFC64A2"/>
    <w:rsid w:val="3C8E0EDC"/>
    <w:rsid w:val="3CEA09F1"/>
    <w:rsid w:val="3D212D64"/>
    <w:rsid w:val="3DE92B19"/>
    <w:rsid w:val="3E164BB3"/>
    <w:rsid w:val="3E75253C"/>
    <w:rsid w:val="3EBC016B"/>
    <w:rsid w:val="3F607809"/>
    <w:rsid w:val="3F744EE9"/>
    <w:rsid w:val="3F894C4C"/>
    <w:rsid w:val="3FBE2027"/>
    <w:rsid w:val="3FEB4594"/>
    <w:rsid w:val="408B4299"/>
    <w:rsid w:val="40F24A23"/>
    <w:rsid w:val="41456B3D"/>
    <w:rsid w:val="41A018F1"/>
    <w:rsid w:val="41B17D2F"/>
    <w:rsid w:val="41F67E38"/>
    <w:rsid w:val="420936C7"/>
    <w:rsid w:val="42835966"/>
    <w:rsid w:val="431162DE"/>
    <w:rsid w:val="44024872"/>
    <w:rsid w:val="440931E8"/>
    <w:rsid w:val="44564BBE"/>
    <w:rsid w:val="44F22B38"/>
    <w:rsid w:val="45442C68"/>
    <w:rsid w:val="45C67AB0"/>
    <w:rsid w:val="46162856"/>
    <w:rsid w:val="46276812"/>
    <w:rsid w:val="46AF0101"/>
    <w:rsid w:val="46ED1809"/>
    <w:rsid w:val="473D3E13"/>
    <w:rsid w:val="47543636"/>
    <w:rsid w:val="47C50090"/>
    <w:rsid w:val="496833C9"/>
    <w:rsid w:val="49AE2465"/>
    <w:rsid w:val="4A714FAA"/>
    <w:rsid w:val="4BDB2578"/>
    <w:rsid w:val="4C20442F"/>
    <w:rsid w:val="4C4F48C4"/>
    <w:rsid w:val="4CDCC5E9"/>
    <w:rsid w:val="4D720CBA"/>
    <w:rsid w:val="4EF70D4B"/>
    <w:rsid w:val="4F0516BA"/>
    <w:rsid w:val="4F2E0C11"/>
    <w:rsid w:val="4F7613A4"/>
    <w:rsid w:val="4FE15C83"/>
    <w:rsid w:val="4FFA4F97"/>
    <w:rsid w:val="501F67AB"/>
    <w:rsid w:val="506D7517"/>
    <w:rsid w:val="50A646B5"/>
    <w:rsid w:val="512F1E25"/>
    <w:rsid w:val="51327BFC"/>
    <w:rsid w:val="527964F9"/>
    <w:rsid w:val="528B3100"/>
    <w:rsid w:val="529F45ED"/>
    <w:rsid w:val="52C90BF8"/>
    <w:rsid w:val="536754EB"/>
    <w:rsid w:val="544C155B"/>
    <w:rsid w:val="54B73456"/>
    <w:rsid w:val="54E81C63"/>
    <w:rsid w:val="55B300C2"/>
    <w:rsid w:val="563D3E2F"/>
    <w:rsid w:val="56574E4C"/>
    <w:rsid w:val="57741B5A"/>
    <w:rsid w:val="57C33EC0"/>
    <w:rsid w:val="57EE6DE8"/>
    <w:rsid w:val="5846521D"/>
    <w:rsid w:val="589C10C2"/>
    <w:rsid w:val="58A74CA6"/>
    <w:rsid w:val="58A80E04"/>
    <w:rsid w:val="58CB5722"/>
    <w:rsid w:val="58DC348C"/>
    <w:rsid w:val="5934151A"/>
    <w:rsid w:val="59FD5DAF"/>
    <w:rsid w:val="5A1225FB"/>
    <w:rsid w:val="5A753B98"/>
    <w:rsid w:val="5B757F9B"/>
    <w:rsid w:val="5BBB382C"/>
    <w:rsid w:val="5CD0339E"/>
    <w:rsid w:val="5D223225"/>
    <w:rsid w:val="5E127D51"/>
    <w:rsid w:val="5E264346"/>
    <w:rsid w:val="5E897C12"/>
    <w:rsid w:val="5E9E3287"/>
    <w:rsid w:val="5F487ACD"/>
    <w:rsid w:val="5F8B4982"/>
    <w:rsid w:val="5FDFD741"/>
    <w:rsid w:val="612C0D28"/>
    <w:rsid w:val="6186668A"/>
    <w:rsid w:val="61F730E4"/>
    <w:rsid w:val="62457AB1"/>
    <w:rsid w:val="625D6BE5"/>
    <w:rsid w:val="63097573"/>
    <w:rsid w:val="636817BE"/>
    <w:rsid w:val="636C365E"/>
    <w:rsid w:val="6372336A"/>
    <w:rsid w:val="63B01B0F"/>
    <w:rsid w:val="640815D9"/>
    <w:rsid w:val="64281C7B"/>
    <w:rsid w:val="646E31AA"/>
    <w:rsid w:val="64EE1A97"/>
    <w:rsid w:val="64F8164D"/>
    <w:rsid w:val="65165F77"/>
    <w:rsid w:val="6569CB52"/>
    <w:rsid w:val="66815672"/>
    <w:rsid w:val="66C13CC1"/>
    <w:rsid w:val="66CC0FE3"/>
    <w:rsid w:val="66DB2FD4"/>
    <w:rsid w:val="67024D25"/>
    <w:rsid w:val="672C0E52"/>
    <w:rsid w:val="67362901"/>
    <w:rsid w:val="679B2764"/>
    <w:rsid w:val="67C812B6"/>
    <w:rsid w:val="68543999"/>
    <w:rsid w:val="6A554E4C"/>
    <w:rsid w:val="6A9242F2"/>
    <w:rsid w:val="6B086362"/>
    <w:rsid w:val="6BBF0763"/>
    <w:rsid w:val="6BEA52B7"/>
    <w:rsid w:val="6BF6265F"/>
    <w:rsid w:val="6C64569A"/>
    <w:rsid w:val="6D243A00"/>
    <w:rsid w:val="6E3B091D"/>
    <w:rsid w:val="6E492F1A"/>
    <w:rsid w:val="6E4A15FE"/>
    <w:rsid w:val="6E6C605B"/>
    <w:rsid w:val="6E9543B1"/>
    <w:rsid w:val="6F374E0B"/>
    <w:rsid w:val="7015321B"/>
    <w:rsid w:val="7060279C"/>
    <w:rsid w:val="70645DE9"/>
    <w:rsid w:val="706E310B"/>
    <w:rsid w:val="707B3132"/>
    <w:rsid w:val="710F044A"/>
    <w:rsid w:val="716564E1"/>
    <w:rsid w:val="72772C62"/>
    <w:rsid w:val="72A03324"/>
    <w:rsid w:val="72D97831"/>
    <w:rsid w:val="73305994"/>
    <w:rsid w:val="73697BBA"/>
    <w:rsid w:val="73AE0C4C"/>
    <w:rsid w:val="73E2320E"/>
    <w:rsid w:val="746A3BEA"/>
    <w:rsid w:val="74D06143"/>
    <w:rsid w:val="75114065"/>
    <w:rsid w:val="75322959"/>
    <w:rsid w:val="757D16FB"/>
    <w:rsid w:val="75B01AD0"/>
    <w:rsid w:val="76A50F09"/>
    <w:rsid w:val="76D77B85"/>
    <w:rsid w:val="76E9529A"/>
    <w:rsid w:val="77302EC9"/>
    <w:rsid w:val="777728A5"/>
    <w:rsid w:val="77844FC2"/>
    <w:rsid w:val="780B56E4"/>
    <w:rsid w:val="79A656C4"/>
    <w:rsid w:val="79B20B7E"/>
    <w:rsid w:val="79CB6ED9"/>
    <w:rsid w:val="79F13DDD"/>
    <w:rsid w:val="7AE00762"/>
    <w:rsid w:val="7B607678"/>
    <w:rsid w:val="7B7B048A"/>
    <w:rsid w:val="7BF00E78"/>
    <w:rsid w:val="7C016BE2"/>
    <w:rsid w:val="7C5A16E9"/>
    <w:rsid w:val="7C831CEC"/>
    <w:rsid w:val="7CAD7055"/>
    <w:rsid w:val="7DE70902"/>
    <w:rsid w:val="7E0D1B9F"/>
    <w:rsid w:val="7E437BE2"/>
    <w:rsid w:val="7EBA375E"/>
    <w:rsid w:val="7F2C0419"/>
    <w:rsid w:val="7F3F3CAD"/>
    <w:rsid w:val="7FFD5A70"/>
    <w:rsid w:val="A47B56A8"/>
    <w:rsid w:val="BE9EBB3B"/>
    <w:rsid w:val="BF77C069"/>
    <w:rsid w:val="D8BC7A94"/>
    <w:rsid w:val="DDDCC897"/>
    <w:rsid w:val="EB3BB21D"/>
    <w:rsid w:val="EEE89797"/>
    <w:rsid w:val="F6D9230D"/>
    <w:rsid w:val="FD7F4949"/>
    <w:rsid w:val="FDBF88D1"/>
    <w:rsid w:val="FEDFF8AA"/>
    <w:rsid w:val="FF3773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spacing w:line="500" w:lineRule="exact"/>
      <w:ind w:firstLine="420"/>
    </w:pPr>
    <w:rPr>
      <w:sz w:val="28"/>
      <w:szCs w:val="20"/>
    </w:rPr>
  </w:style>
  <w:style w:type="paragraph" w:styleId="4">
    <w:name w:val="annotation text"/>
    <w:basedOn w:val="1"/>
    <w:qFormat/>
    <w:uiPriority w:val="0"/>
    <w:pPr>
      <w:jc w:val="left"/>
    </w:pPr>
  </w:style>
  <w:style w:type="paragraph" w:styleId="5">
    <w:name w:val="Body Text"/>
    <w:basedOn w:val="1"/>
    <w:next w:val="1"/>
    <w:qFormat/>
    <w:uiPriority w:val="0"/>
    <w:pPr>
      <w:ind w:firstLine="2249" w:firstLineChars="200"/>
    </w:pPr>
    <w:rPr>
      <w:sz w:val="30"/>
      <w:szCs w:val="32"/>
    </w:rPr>
  </w:style>
  <w:style w:type="paragraph" w:styleId="6">
    <w:name w:val="Body Text Indent"/>
    <w:basedOn w:val="1"/>
    <w:qFormat/>
    <w:uiPriority w:val="0"/>
    <w:pPr>
      <w:spacing w:after="120" w:afterLines="0" w:afterAutospacing="0"/>
      <w:ind w:left="420" w:leftChars="2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rPr>
      <w:sz w:val="24"/>
    </w:rPr>
  </w:style>
  <w:style w:type="paragraph" w:styleId="10">
    <w:name w:val="Body Text First Indent"/>
    <w:basedOn w:val="5"/>
    <w:qFormat/>
    <w:uiPriority w:val="0"/>
    <w:pPr>
      <w:spacing w:before="1"/>
      <w:ind w:left="120" w:firstLine="420" w:firstLineChars="100"/>
    </w:pPr>
    <w:rPr>
      <w:rFonts w:ascii="宋体" w:hAnsi="宋体" w:eastAsia="宋体" w:cs="宋体"/>
      <w:sz w:val="19"/>
      <w:szCs w:val="19"/>
    </w:rPr>
  </w:style>
  <w:style w:type="paragraph" w:styleId="11">
    <w:name w:val="Body Text First Indent 2"/>
    <w:basedOn w:val="6"/>
    <w:next w:val="10"/>
    <w:qFormat/>
    <w:uiPriority w:val="0"/>
    <w:pPr>
      <w:ind w:firstLine="420" w:firstLineChars="200"/>
    </w:pPr>
  </w:style>
  <w:style w:type="character" w:styleId="14">
    <w:name w:val="Strong"/>
    <w:basedOn w:val="13"/>
    <w:qFormat/>
    <w:uiPriority w:val="0"/>
    <w:rPr>
      <w:b/>
    </w:rPr>
  </w:style>
  <w:style w:type="character" w:styleId="15">
    <w:name w:val="Hyperlink"/>
    <w:basedOn w:val="1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7424</Words>
  <Characters>7606</Characters>
  <Lines>0</Lines>
  <Paragraphs>0</Paragraphs>
  <TotalTime>3</TotalTime>
  <ScaleCrop>false</ScaleCrop>
  <LinksUpToDate>false</LinksUpToDate>
  <CharactersWithSpaces>7670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2014-10-30T20:08:00Z</dcterms:created>
  <dc:creator>Administrator</dc:creator>
  <cp:lastModifiedBy>WPS_1665359122</cp:lastModifiedBy>
  <cp:lastPrinted>2026-07-03T09:46:00Z</cp:lastPrinted>
  <dcterms:modified xsi:type="dcterms:W3CDTF">2026-07-03T10:03:59Z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A602F892512C4A5FA49C73B68A71E263_13</vt:lpwstr>
  </property>
  <property fmtid="{D5CDD505-2E9C-101B-9397-08002B2CF9AE}" pid="4" name="KSOTemplateDocerSaveRecord">
    <vt:lpwstr>eyJoZGlkIjoiOWIwMTQyMjFmZDgxNzc4N2RkZmFmY2RkNDljM2NhYzkiLCJ1c2VySWQiOiIxNDE2ODcyNjA4In0=</vt:lpwstr>
  </property>
</Properties>
</file>